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D9811" w14:textId="77777777" w:rsidR="00FE2B71" w:rsidRDefault="00FE2B71" w:rsidP="00FE2B71">
      <w:pPr>
        <w:jc w:val="center"/>
      </w:pPr>
      <w:r>
        <w:rPr>
          <w:noProof/>
          <w:lang w:eastAsia="en-GB"/>
        </w:rPr>
        <w:drawing>
          <wp:inline distT="0" distB="0" distL="0" distR="0" wp14:anchorId="37838B79" wp14:editId="4C8A67B0">
            <wp:extent cx="5721350" cy="1930400"/>
            <wp:effectExtent l="0" t="0" r="0" b="0"/>
            <wp:docPr id="1" name="Picture 1"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21350" cy="1930400"/>
                    </a:xfrm>
                    <a:prstGeom prst="rect">
                      <a:avLst/>
                    </a:prstGeom>
                    <a:noFill/>
                    <a:ln>
                      <a:noFill/>
                    </a:ln>
                  </pic:spPr>
                </pic:pic>
              </a:graphicData>
            </a:graphic>
          </wp:inline>
        </w:drawing>
      </w:r>
    </w:p>
    <w:p w14:paraId="2ADF7B8D" w14:textId="77777777" w:rsidR="00FE2B71" w:rsidRDefault="00FE2B71" w:rsidP="00FE2B71"/>
    <w:p w14:paraId="5A938C9D" w14:textId="77777777" w:rsidR="00FE2B71" w:rsidRDefault="00FE2B71" w:rsidP="00FE2B71">
      <w:pPr>
        <w:jc w:val="center"/>
        <w:rPr>
          <w:sz w:val="72"/>
          <w:szCs w:val="72"/>
        </w:rPr>
      </w:pPr>
    </w:p>
    <w:p w14:paraId="69864C4F" w14:textId="77777777" w:rsidR="00FE2B71" w:rsidRDefault="00FE2B71" w:rsidP="00FE2B71">
      <w:pPr>
        <w:jc w:val="center"/>
        <w:rPr>
          <w:sz w:val="72"/>
          <w:szCs w:val="72"/>
        </w:rPr>
      </w:pPr>
    </w:p>
    <w:p w14:paraId="602A5467" w14:textId="3477ED89" w:rsidR="00FE2B71" w:rsidRDefault="00FE2B71" w:rsidP="00FE2B71">
      <w:pPr>
        <w:jc w:val="center"/>
        <w:rPr>
          <w:sz w:val="72"/>
          <w:szCs w:val="72"/>
        </w:rPr>
      </w:pPr>
      <w:r>
        <w:rPr>
          <w:sz w:val="72"/>
          <w:szCs w:val="72"/>
        </w:rPr>
        <w:t>EQUALITY</w:t>
      </w:r>
      <w:r w:rsidRPr="009361CC">
        <w:rPr>
          <w:sz w:val="72"/>
          <w:szCs w:val="72"/>
        </w:rPr>
        <w:t xml:space="preserve"> </w:t>
      </w:r>
      <w:r w:rsidR="009F73E8">
        <w:rPr>
          <w:sz w:val="72"/>
          <w:szCs w:val="72"/>
        </w:rPr>
        <w:t>INFORMATION</w:t>
      </w:r>
      <w:r w:rsidR="00064449">
        <w:rPr>
          <w:sz w:val="72"/>
          <w:szCs w:val="72"/>
        </w:rPr>
        <w:t xml:space="preserve"> AND OBJECTIVES STATEMENT</w:t>
      </w:r>
    </w:p>
    <w:p w14:paraId="52F4EE39" w14:textId="77777777" w:rsidR="00FE2B71" w:rsidRDefault="00FE2B71" w:rsidP="00FE2B71">
      <w:pPr>
        <w:rPr>
          <w:sz w:val="72"/>
          <w:szCs w:val="72"/>
        </w:rPr>
      </w:pPr>
      <w:r>
        <w:rPr>
          <w:sz w:val="72"/>
          <w:szCs w:val="72"/>
        </w:rPr>
        <w:br w:type="page"/>
      </w:r>
    </w:p>
    <w:tbl>
      <w:tblPr>
        <w:tblStyle w:val="TableGrid"/>
        <w:tblpPr w:leftFromText="180" w:rightFromText="180" w:horzAnchor="margin" w:tblpXSpec="center" w:tblpY="550"/>
        <w:tblW w:w="0" w:type="auto"/>
        <w:tblLook w:val="04A0" w:firstRow="1" w:lastRow="0" w:firstColumn="1" w:lastColumn="0" w:noHBand="0" w:noVBand="1"/>
      </w:tblPr>
      <w:tblGrid>
        <w:gridCol w:w="4508"/>
        <w:gridCol w:w="4508"/>
      </w:tblGrid>
      <w:tr w:rsidR="00FE2B71" w14:paraId="2AD76F96" w14:textId="77777777" w:rsidTr="00E900AA">
        <w:tc>
          <w:tcPr>
            <w:tcW w:w="9016" w:type="dxa"/>
            <w:gridSpan w:val="2"/>
            <w:shd w:val="clear" w:color="auto" w:fill="E7E6E6" w:themeFill="background2"/>
          </w:tcPr>
          <w:p w14:paraId="1963F5BF" w14:textId="77777777" w:rsidR="00FE2B71" w:rsidRPr="00E733CF" w:rsidRDefault="00FE2B71" w:rsidP="00E900AA">
            <w:pPr>
              <w:jc w:val="center"/>
              <w:rPr>
                <w:b/>
                <w:bCs/>
                <w:sz w:val="24"/>
                <w:szCs w:val="24"/>
              </w:rPr>
            </w:pPr>
            <w:r w:rsidRPr="00E733CF">
              <w:rPr>
                <w:b/>
                <w:bCs/>
                <w:sz w:val="24"/>
                <w:szCs w:val="24"/>
              </w:rPr>
              <w:lastRenderedPageBreak/>
              <w:t>POLICY INFORMATION SHEET</w:t>
            </w:r>
          </w:p>
        </w:tc>
      </w:tr>
      <w:tr w:rsidR="00FE2B71" w14:paraId="7374F7A6" w14:textId="77777777" w:rsidTr="00E900AA">
        <w:tc>
          <w:tcPr>
            <w:tcW w:w="4508" w:type="dxa"/>
            <w:shd w:val="clear" w:color="auto" w:fill="E7E6E6" w:themeFill="background2"/>
          </w:tcPr>
          <w:p w14:paraId="25E0A71C" w14:textId="77777777" w:rsidR="00FE2B71" w:rsidRDefault="00FE2B71" w:rsidP="00E900AA">
            <w:pPr>
              <w:rPr>
                <w:sz w:val="24"/>
                <w:szCs w:val="24"/>
              </w:rPr>
            </w:pPr>
            <w:r>
              <w:rPr>
                <w:sz w:val="24"/>
                <w:szCs w:val="24"/>
              </w:rPr>
              <w:t>Title</w:t>
            </w:r>
          </w:p>
          <w:p w14:paraId="367799F1" w14:textId="77777777" w:rsidR="00FE2B71" w:rsidRPr="006568A7" w:rsidRDefault="00FE2B71" w:rsidP="00E900AA">
            <w:pPr>
              <w:jc w:val="center"/>
              <w:rPr>
                <w:sz w:val="24"/>
                <w:szCs w:val="24"/>
              </w:rPr>
            </w:pPr>
          </w:p>
        </w:tc>
        <w:tc>
          <w:tcPr>
            <w:tcW w:w="4508" w:type="dxa"/>
          </w:tcPr>
          <w:p w14:paraId="255971F1" w14:textId="77777777" w:rsidR="00FE2B71" w:rsidRPr="006568A7" w:rsidRDefault="00FE2B71" w:rsidP="00E900AA">
            <w:pPr>
              <w:jc w:val="center"/>
              <w:rPr>
                <w:sz w:val="24"/>
                <w:szCs w:val="24"/>
              </w:rPr>
            </w:pPr>
            <w:r>
              <w:rPr>
                <w:sz w:val="24"/>
                <w:szCs w:val="24"/>
              </w:rPr>
              <w:t>Equality Policy</w:t>
            </w:r>
          </w:p>
        </w:tc>
      </w:tr>
      <w:tr w:rsidR="00FE2B71" w14:paraId="3B6D2D8E" w14:textId="77777777" w:rsidTr="00E900AA">
        <w:tc>
          <w:tcPr>
            <w:tcW w:w="4508" w:type="dxa"/>
            <w:shd w:val="clear" w:color="auto" w:fill="E7E6E6" w:themeFill="background2"/>
          </w:tcPr>
          <w:p w14:paraId="7BFA077C" w14:textId="77777777" w:rsidR="00FE2B71" w:rsidRDefault="00FE2B71" w:rsidP="00E900AA">
            <w:pPr>
              <w:rPr>
                <w:sz w:val="24"/>
                <w:szCs w:val="24"/>
              </w:rPr>
            </w:pPr>
            <w:r>
              <w:rPr>
                <w:sz w:val="24"/>
                <w:szCs w:val="24"/>
              </w:rPr>
              <w:t>Source</w:t>
            </w:r>
          </w:p>
          <w:p w14:paraId="41FE1BC1" w14:textId="77777777" w:rsidR="00FE2B71" w:rsidRPr="006568A7" w:rsidRDefault="00FE2B71" w:rsidP="00E900AA">
            <w:pPr>
              <w:rPr>
                <w:sz w:val="24"/>
                <w:szCs w:val="24"/>
              </w:rPr>
            </w:pPr>
          </w:p>
        </w:tc>
        <w:tc>
          <w:tcPr>
            <w:tcW w:w="4508" w:type="dxa"/>
          </w:tcPr>
          <w:p w14:paraId="4C7B90C2" w14:textId="77777777" w:rsidR="00FE2B71" w:rsidRPr="006568A7" w:rsidRDefault="00FE2B71" w:rsidP="00E900AA">
            <w:pPr>
              <w:jc w:val="center"/>
              <w:rPr>
                <w:sz w:val="24"/>
                <w:szCs w:val="24"/>
              </w:rPr>
            </w:pPr>
            <w:r>
              <w:rPr>
                <w:sz w:val="24"/>
                <w:szCs w:val="24"/>
              </w:rPr>
              <w:t>Governance Manager</w:t>
            </w:r>
          </w:p>
        </w:tc>
      </w:tr>
      <w:tr w:rsidR="00FE2B71" w14:paraId="48A16822" w14:textId="77777777" w:rsidTr="00E900AA">
        <w:tc>
          <w:tcPr>
            <w:tcW w:w="4508" w:type="dxa"/>
            <w:shd w:val="clear" w:color="auto" w:fill="E7E6E6" w:themeFill="background2"/>
          </w:tcPr>
          <w:p w14:paraId="66797A93" w14:textId="77777777" w:rsidR="00FE2B71" w:rsidRDefault="00FE2B71" w:rsidP="00E900AA">
            <w:pPr>
              <w:rPr>
                <w:sz w:val="24"/>
                <w:szCs w:val="24"/>
              </w:rPr>
            </w:pPr>
            <w:r>
              <w:rPr>
                <w:sz w:val="24"/>
                <w:szCs w:val="24"/>
              </w:rPr>
              <w:t>Document Owner</w:t>
            </w:r>
          </w:p>
          <w:p w14:paraId="5D603902" w14:textId="77777777" w:rsidR="00FE2B71" w:rsidRPr="006568A7" w:rsidRDefault="00FE2B71" w:rsidP="00E900AA">
            <w:pPr>
              <w:rPr>
                <w:sz w:val="24"/>
                <w:szCs w:val="24"/>
              </w:rPr>
            </w:pPr>
          </w:p>
        </w:tc>
        <w:tc>
          <w:tcPr>
            <w:tcW w:w="4508" w:type="dxa"/>
          </w:tcPr>
          <w:p w14:paraId="4F77F93D" w14:textId="77777777" w:rsidR="00FE2B71" w:rsidRPr="006568A7" w:rsidRDefault="00FE2B71" w:rsidP="00E900AA">
            <w:pPr>
              <w:jc w:val="center"/>
              <w:rPr>
                <w:sz w:val="24"/>
                <w:szCs w:val="24"/>
              </w:rPr>
            </w:pPr>
            <w:r>
              <w:rPr>
                <w:sz w:val="24"/>
                <w:szCs w:val="24"/>
              </w:rPr>
              <w:t>Governance Manager</w:t>
            </w:r>
          </w:p>
        </w:tc>
      </w:tr>
      <w:tr w:rsidR="00FE2B71" w14:paraId="004E3533" w14:textId="77777777" w:rsidTr="00E900AA">
        <w:tc>
          <w:tcPr>
            <w:tcW w:w="4508" w:type="dxa"/>
            <w:shd w:val="clear" w:color="auto" w:fill="E7E6E6" w:themeFill="background2"/>
          </w:tcPr>
          <w:p w14:paraId="7324CB6C" w14:textId="77777777" w:rsidR="00FE2B71" w:rsidRDefault="00FE2B71" w:rsidP="00E900AA">
            <w:pPr>
              <w:rPr>
                <w:sz w:val="24"/>
                <w:szCs w:val="24"/>
              </w:rPr>
            </w:pPr>
            <w:r>
              <w:rPr>
                <w:sz w:val="24"/>
                <w:szCs w:val="24"/>
              </w:rPr>
              <w:t>Approval Level</w:t>
            </w:r>
          </w:p>
          <w:p w14:paraId="659CDDBA" w14:textId="77777777" w:rsidR="00FE2B71" w:rsidRPr="006568A7" w:rsidRDefault="00FE2B71" w:rsidP="00E900AA">
            <w:pPr>
              <w:rPr>
                <w:sz w:val="24"/>
                <w:szCs w:val="24"/>
              </w:rPr>
            </w:pPr>
          </w:p>
        </w:tc>
        <w:tc>
          <w:tcPr>
            <w:tcW w:w="4508" w:type="dxa"/>
          </w:tcPr>
          <w:p w14:paraId="4DF30D33" w14:textId="75EA3B60" w:rsidR="00FE2B71" w:rsidRPr="006568A7" w:rsidRDefault="00747B6C" w:rsidP="00E900AA">
            <w:pPr>
              <w:jc w:val="center"/>
              <w:rPr>
                <w:sz w:val="24"/>
                <w:szCs w:val="24"/>
              </w:rPr>
            </w:pPr>
            <w:r>
              <w:rPr>
                <w:sz w:val="24"/>
                <w:szCs w:val="24"/>
              </w:rPr>
              <w:t xml:space="preserve">Executive </w:t>
            </w:r>
            <w:r w:rsidR="00FE2B71">
              <w:rPr>
                <w:sz w:val="24"/>
                <w:szCs w:val="24"/>
              </w:rPr>
              <w:t>Committee</w:t>
            </w:r>
          </w:p>
        </w:tc>
      </w:tr>
      <w:tr w:rsidR="00FE2B71" w14:paraId="27819087" w14:textId="77777777" w:rsidTr="00E900AA">
        <w:tc>
          <w:tcPr>
            <w:tcW w:w="4508" w:type="dxa"/>
            <w:shd w:val="clear" w:color="auto" w:fill="E7E6E6" w:themeFill="background2"/>
          </w:tcPr>
          <w:p w14:paraId="22C9645A" w14:textId="77777777" w:rsidR="00FE2B71" w:rsidRDefault="00FE2B71" w:rsidP="00E900AA">
            <w:pPr>
              <w:rPr>
                <w:sz w:val="24"/>
                <w:szCs w:val="24"/>
              </w:rPr>
            </w:pPr>
            <w:r>
              <w:rPr>
                <w:sz w:val="24"/>
                <w:szCs w:val="24"/>
              </w:rPr>
              <w:t>Date of next Review</w:t>
            </w:r>
          </w:p>
          <w:p w14:paraId="231B969B" w14:textId="77777777" w:rsidR="00FE2B71" w:rsidRPr="006568A7" w:rsidRDefault="00FE2B71" w:rsidP="00E900AA">
            <w:pPr>
              <w:rPr>
                <w:sz w:val="24"/>
                <w:szCs w:val="24"/>
              </w:rPr>
            </w:pPr>
          </w:p>
        </w:tc>
        <w:tc>
          <w:tcPr>
            <w:tcW w:w="4508" w:type="dxa"/>
          </w:tcPr>
          <w:p w14:paraId="746D7DD7" w14:textId="68139D12" w:rsidR="00FE2B71" w:rsidRPr="006568A7" w:rsidRDefault="00895958" w:rsidP="00E900AA">
            <w:pPr>
              <w:jc w:val="center"/>
              <w:rPr>
                <w:sz w:val="24"/>
                <w:szCs w:val="24"/>
              </w:rPr>
            </w:pPr>
            <w:r>
              <w:rPr>
                <w:sz w:val="24"/>
                <w:szCs w:val="24"/>
              </w:rPr>
              <w:t>April 2026</w:t>
            </w:r>
          </w:p>
        </w:tc>
      </w:tr>
      <w:tr w:rsidR="00FE2B71" w14:paraId="78FFA6D0" w14:textId="77777777" w:rsidTr="00E900AA">
        <w:tc>
          <w:tcPr>
            <w:tcW w:w="4508" w:type="dxa"/>
            <w:shd w:val="clear" w:color="auto" w:fill="E7E6E6" w:themeFill="background2"/>
          </w:tcPr>
          <w:p w14:paraId="3092426B" w14:textId="77777777" w:rsidR="00FE2B71" w:rsidRDefault="00FE2B71" w:rsidP="00E900AA">
            <w:pPr>
              <w:rPr>
                <w:sz w:val="24"/>
                <w:szCs w:val="24"/>
              </w:rPr>
            </w:pPr>
            <w:r>
              <w:rPr>
                <w:sz w:val="24"/>
                <w:szCs w:val="24"/>
              </w:rPr>
              <w:t>Required on school websites</w:t>
            </w:r>
          </w:p>
          <w:p w14:paraId="760ABF43" w14:textId="77777777" w:rsidR="00FE2B71" w:rsidRDefault="00FE2B71" w:rsidP="00E900AA">
            <w:pPr>
              <w:rPr>
                <w:sz w:val="24"/>
                <w:szCs w:val="24"/>
              </w:rPr>
            </w:pPr>
          </w:p>
        </w:tc>
        <w:tc>
          <w:tcPr>
            <w:tcW w:w="4508" w:type="dxa"/>
          </w:tcPr>
          <w:p w14:paraId="1558569E" w14:textId="77777777" w:rsidR="00FE2B71" w:rsidRPr="006568A7" w:rsidRDefault="00FE2B71" w:rsidP="00E900AA">
            <w:pPr>
              <w:jc w:val="center"/>
              <w:rPr>
                <w:sz w:val="24"/>
                <w:szCs w:val="24"/>
              </w:rPr>
            </w:pPr>
            <w:r>
              <w:rPr>
                <w:sz w:val="24"/>
                <w:szCs w:val="24"/>
              </w:rPr>
              <w:t>Yes</w:t>
            </w:r>
          </w:p>
        </w:tc>
      </w:tr>
    </w:tbl>
    <w:p w14:paraId="02AF7B58" w14:textId="77777777" w:rsidR="00FE2B71" w:rsidRDefault="00FE2B71" w:rsidP="00FE2B71">
      <w:pPr>
        <w:rPr>
          <w:sz w:val="72"/>
          <w:szCs w:val="72"/>
        </w:rPr>
      </w:pPr>
    </w:p>
    <w:p w14:paraId="6B8A7A63" w14:textId="5EFF91E4" w:rsidR="00750322" w:rsidRPr="00FE2B71" w:rsidRDefault="00FE2B71">
      <w:pPr>
        <w:rPr>
          <w:sz w:val="72"/>
          <w:szCs w:val="72"/>
        </w:rPr>
      </w:pPr>
      <w:r>
        <w:rPr>
          <w:sz w:val="72"/>
          <w:szCs w:val="72"/>
        </w:rPr>
        <w:br w:type="page"/>
      </w:r>
    </w:p>
    <w:p w14:paraId="0FC2576A" w14:textId="46B8A8EA" w:rsidR="00B821DE" w:rsidRDefault="00B821DE" w:rsidP="007E6E25">
      <w:pPr>
        <w:pStyle w:val="ListParagraph"/>
        <w:numPr>
          <w:ilvl w:val="0"/>
          <w:numId w:val="5"/>
        </w:numPr>
        <w:spacing w:line="240" w:lineRule="auto"/>
      </w:pPr>
      <w:r>
        <w:lastRenderedPageBreak/>
        <w:t>AIMS</w:t>
      </w:r>
      <w:r>
        <w:tab/>
      </w:r>
    </w:p>
    <w:p w14:paraId="6EC38382" w14:textId="72B9387B" w:rsidR="00186709" w:rsidRDefault="00750322" w:rsidP="007E6E25">
      <w:pPr>
        <w:spacing w:line="240" w:lineRule="auto"/>
      </w:pPr>
      <w:r>
        <w:t>The Pope Francis Catholic Multi Academy Company</w:t>
      </w:r>
      <w:r w:rsidR="00B821DE">
        <w:t xml:space="preserve"> (PFMAC)</w:t>
      </w:r>
      <w:r>
        <w:t xml:space="preserve"> aims to meet its obligations under the public sector equality duty by having due regard to the need to: </w:t>
      </w:r>
    </w:p>
    <w:p w14:paraId="511214EA" w14:textId="3BB7F9FA" w:rsidR="00186709" w:rsidRDefault="00750322" w:rsidP="007E6E25">
      <w:pPr>
        <w:pStyle w:val="ListParagraph"/>
        <w:numPr>
          <w:ilvl w:val="0"/>
          <w:numId w:val="2"/>
        </w:numPr>
        <w:spacing w:line="240" w:lineRule="auto"/>
      </w:pPr>
      <w:r>
        <w:t xml:space="preserve">Eliminate discrimination and other conduct that is prohibited by the Equality Act 2010 </w:t>
      </w:r>
    </w:p>
    <w:p w14:paraId="076EC82B" w14:textId="1EE61769" w:rsidR="00186709" w:rsidRDefault="00750322" w:rsidP="007E6E25">
      <w:pPr>
        <w:pStyle w:val="ListParagraph"/>
        <w:numPr>
          <w:ilvl w:val="0"/>
          <w:numId w:val="2"/>
        </w:numPr>
        <w:spacing w:line="240" w:lineRule="auto"/>
      </w:pPr>
      <w:r>
        <w:t xml:space="preserve">Advance equality of opportunity between people who share a protected characteristic and people who do not share it </w:t>
      </w:r>
    </w:p>
    <w:p w14:paraId="1F03B6D1" w14:textId="2D30C197" w:rsidR="00186709" w:rsidRDefault="00750322" w:rsidP="007E6E25">
      <w:pPr>
        <w:pStyle w:val="ListParagraph"/>
        <w:numPr>
          <w:ilvl w:val="0"/>
          <w:numId w:val="2"/>
        </w:numPr>
        <w:spacing w:line="240" w:lineRule="auto"/>
      </w:pPr>
      <w:r>
        <w:t xml:space="preserve">Foster good relations across all characteristics – between people who share a protected characteristic and people who do not share it </w:t>
      </w:r>
    </w:p>
    <w:p w14:paraId="427F7DEB" w14:textId="0515E491" w:rsidR="00186709" w:rsidRDefault="00186709" w:rsidP="007E6E25">
      <w:pPr>
        <w:autoSpaceDE w:val="0"/>
        <w:autoSpaceDN w:val="0"/>
        <w:adjustRightInd w:val="0"/>
        <w:spacing w:after="0" w:line="240" w:lineRule="auto"/>
        <w:rPr>
          <w:rFonts w:ascii="Calibri" w:hAnsi="Calibri" w:cs="Calibri"/>
          <w:i/>
        </w:rPr>
      </w:pPr>
      <w:r>
        <w:t xml:space="preserve">Moreover, as a Catholic Multi Academy Company </w:t>
      </w:r>
      <w:r>
        <w:rPr>
          <w:rFonts w:ascii="Calibri" w:hAnsi="Calibri" w:cs="Calibri"/>
          <w:iCs/>
        </w:rPr>
        <w:t>w</w:t>
      </w:r>
      <w:r w:rsidRPr="00186709">
        <w:rPr>
          <w:rFonts w:ascii="Calibri" w:hAnsi="Calibri" w:cs="Calibri"/>
          <w:iCs/>
        </w:rPr>
        <w:t>e believe each person is a unique creation made in the image of and likeness of God, called by name, with a special vocation and gifts to bring to the world.  We seek to develop these talents in each individual by being a beacon for Catholic education in Oxfordshire.</w:t>
      </w:r>
    </w:p>
    <w:p w14:paraId="33EE48E5" w14:textId="77777777" w:rsidR="00B821DE" w:rsidRPr="00B821DE" w:rsidRDefault="00B821DE" w:rsidP="007E6E25">
      <w:pPr>
        <w:autoSpaceDE w:val="0"/>
        <w:autoSpaceDN w:val="0"/>
        <w:adjustRightInd w:val="0"/>
        <w:spacing w:after="0" w:line="240" w:lineRule="auto"/>
        <w:rPr>
          <w:rFonts w:ascii="Calibri" w:hAnsi="Calibri" w:cs="Calibri"/>
          <w:i/>
        </w:rPr>
      </w:pPr>
    </w:p>
    <w:p w14:paraId="3B5DE96B" w14:textId="67C48CED" w:rsidR="00186709" w:rsidRDefault="00750322" w:rsidP="007E6E25">
      <w:pPr>
        <w:pStyle w:val="ListParagraph"/>
        <w:numPr>
          <w:ilvl w:val="0"/>
          <w:numId w:val="5"/>
        </w:numPr>
        <w:spacing w:line="240" w:lineRule="auto"/>
      </w:pPr>
      <w:r>
        <w:t xml:space="preserve">LEGISLATION AND GUIDANCE </w:t>
      </w:r>
    </w:p>
    <w:p w14:paraId="077A53B8" w14:textId="77777777" w:rsidR="00186709" w:rsidRDefault="00750322" w:rsidP="007E6E25">
      <w:pPr>
        <w:spacing w:line="240" w:lineRule="auto"/>
      </w:pPr>
      <w:r>
        <w:t>This document meets the requirements under the following legislation:</w:t>
      </w:r>
    </w:p>
    <w:p w14:paraId="0CBBC81F" w14:textId="5C759E2B" w:rsidR="00186709" w:rsidRDefault="00750322" w:rsidP="007E6E25">
      <w:pPr>
        <w:pStyle w:val="ListParagraph"/>
        <w:numPr>
          <w:ilvl w:val="0"/>
          <w:numId w:val="2"/>
        </w:numPr>
        <w:spacing w:line="240" w:lineRule="auto"/>
      </w:pPr>
      <w:r>
        <w:t xml:space="preserve">The Equality Act 2010, which introduced the public sector equality duty and protects people from discrimination </w:t>
      </w:r>
    </w:p>
    <w:p w14:paraId="5F758F1F" w14:textId="661ADB9E" w:rsidR="00186709" w:rsidRDefault="00750322" w:rsidP="007E6E25">
      <w:pPr>
        <w:pStyle w:val="ListParagraph"/>
        <w:numPr>
          <w:ilvl w:val="0"/>
          <w:numId w:val="2"/>
        </w:numPr>
        <w:spacing w:line="240" w:lineRule="auto"/>
      </w:pPr>
      <w:r>
        <w:t xml:space="preserve">The Equality Act 2010 (Specific Duties) Regulations 2011, which require schools to publish information to demonstrate how they are complying with the public sector equality duty and to publish equality objectives </w:t>
      </w:r>
    </w:p>
    <w:p w14:paraId="7A48488B" w14:textId="295AFCF6" w:rsidR="00186709" w:rsidRDefault="00750322" w:rsidP="007E6E25">
      <w:pPr>
        <w:spacing w:line="240" w:lineRule="auto"/>
      </w:pPr>
      <w:r>
        <w:t>This document is also based on Department for Education (</w:t>
      </w:r>
      <w:proofErr w:type="spellStart"/>
      <w:r>
        <w:t>DfE</w:t>
      </w:r>
      <w:proofErr w:type="spellEnd"/>
      <w:r>
        <w:t xml:space="preserve">) guidance: </w:t>
      </w:r>
      <w:r w:rsidR="007E6E25">
        <w:t>‘</w:t>
      </w:r>
      <w:r>
        <w:t>The Equality Act 2010 and schools</w:t>
      </w:r>
      <w:r w:rsidR="007E6E25">
        <w:t>’</w:t>
      </w:r>
      <w:r>
        <w:t xml:space="preserve">. </w:t>
      </w:r>
    </w:p>
    <w:p w14:paraId="00BC9909" w14:textId="1C3F32ED" w:rsidR="00B821DE" w:rsidRDefault="00750322" w:rsidP="007E6E25">
      <w:pPr>
        <w:pStyle w:val="ListParagraph"/>
        <w:numPr>
          <w:ilvl w:val="0"/>
          <w:numId w:val="5"/>
        </w:numPr>
        <w:spacing w:line="240" w:lineRule="auto"/>
      </w:pPr>
      <w:r>
        <w:t>ROLES AND RESPONSIBILITIES</w:t>
      </w:r>
    </w:p>
    <w:p w14:paraId="03D658EC" w14:textId="77777777" w:rsidR="00B821DE" w:rsidRDefault="00750322" w:rsidP="007E6E25">
      <w:pPr>
        <w:spacing w:line="240" w:lineRule="auto"/>
      </w:pPr>
      <w:r>
        <w:t xml:space="preserve">The </w:t>
      </w:r>
      <w:r w:rsidR="00B821DE">
        <w:t xml:space="preserve">PFMAC </w:t>
      </w:r>
      <w:r>
        <w:t xml:space="preserve">Board will: </w:t>
      </w:r>
    </w:p>
    <w:p w14:paraId="0EC41140" w14:textId="7883CE55" w:rsidR="00B821DE" w:rsidRDefault="00750322" w:rsidP="007E6E25">
      <w:pPr>
        <w:pStyle w:val="ListParagraph"/>
        <w:numPr>
          <w:ilvl w:val="0"/>
          <w:numId w:val="2"/>
        </w:numPr>
        <w:spacing w:line="240" w:lineRule="auto"/>
      </w:pPr>
      <w:r>
        <w:t xml:space="preserve">Ensure that the equality information and objectives as set out in this statement are published and communicated throughout the </w:t>
      </w:r>
      <w:r w:rsidR="00B821DE">
        <w:t>PFMAC</w:t>
      </w:r>
      <w:r>
        <w:t>, including to staff, pupils and parents, and that they are reviewed and updated at least once every four years</w:t>
      </w:r>
    </w:p>
    <w:p w14:paraId="677B79BB" w14:textId="45B57E5E" w:rsidR="00B821DE" w:rsidRDefault="00750322" w:rsidP="007E6E25">
      <w:pPr>
        <w:pStyle w:val="ListParagraph"/>
        <w:numPr>
          <w:ilvl w:val="0"/>
          <w:numId w:val="2"/>
        </w:numPr>
        <w:spacing w:line="240" w:lineRule="auto"/>
      </w:pPr>
      <w:r>
        <w:t xml:space="preserve">Delegate responsibility for monitoring the achievement of the objectives on a daily basis to the </w:t>
      </w:r>
      <w:proofErr w:type="spellStart"/>
      <w:r>
        <w:t>headteacher</w:t>
      </w:r>
      <w:proofErr w:type="spellEnd"/>
      <w:r>
        <w:t xml:space="preserve"> of each school</w:t>
      </w:r>
      <w:r w:rsidR="00B821DE">
        <w:t>.</w:t>
      </w:r>
      <w:r>
        <w:t xml:space="preserve"> </w:t>
      </w:r>
    </w:p>
    <w:p w14:paraId="358A0C1E" w14:textId="0BFF981E" w:rsidR="00B821DE" w:rsidRDefault="00B821DE" w:rsidP="007E6E25">
      <w:pPr>
        <w:spacing w:line="240" w:lineRule="auto"/>
      </w:pPr>
      <w:r>
        <w:t xml:space="preserve">The Local Governing Body of each school </w:t>
      </w:r>
      <w:r w:rsidR="00750322">
        <w:t xml:space="preserve">will: </w:t>
      </w:r>
    </w:p>
    <w:p w14:paraId="20A93B86" w14:textId="54D4F99C" w:rsidR="00F761A5" w:rsidRDefault="007E6E25" w:rsidP="007E6E25">
      <w:pPr>
        <w:pStyle w:val="ListParagraph"/>
        <w:numPr>
          <w:ilvl w:val="0"/>
          <w:numId w:val="2"/>
        </w:numPr>
        <w:spacing w:line="240" w:lineRule="auto"/>
      </w:pPr>
      <w:r>
        <w:t>E</w:t>
      </w:r>
      <w:r w:rsidR="00B821DE">
        <w:t xml:space="preserve">nsure </w:t>
      </w:r>
      <w:r w:rsidR="00F761A5">
        <w:t xml:space="preserve">that </w:t>
      </w:r>
      <w:r w:rsidR="00B821DE">
        <w:t xml:space="preserve">Local Governing Body </w:t>
      </w:r>
      <w:r w:rsidR="00F761A5">
        <w:t xml:space="preserve">receives reports from </w:t>
      </w:r>
      <w:r w:rsidR="00B821DE">
        <w:t xml:space="preserve">the </w:t>
      </w:r>
      <w:proofErr w:type="spellStart"/>
      <w:r w:rsidR="00B821DE">
        <w:t>headteacher</w:t>
      </w:r>
      <w:proofErr w:type="spellEnd"/>
      <w:r w:rsidR="00B821DE">
        <w:t xml:space="preserve"> or</w:t>
      </w:r>
      <w:r w:rsidR="00750322">
        <w:t xml:space="preserve"> the designated member of staff for equality </w:t>
      </w:r>
      <w:r>
        <w:t xml:space="preserve">once </w:t>
      </w:r>
      <w:r w:rsidR="00750322">
        <w:t xml:space="preserve">per year, to </w:t>
      </w:r>
      <w:r>
        <w:t>review</w:t>
      </w:r>
      <w:r w:rsidR="00750322">
        <w:t xml:space="preserve"> any issues and how these are being addressed</w:t>
      </w:r>
    </w:p>
    <w:p w14:paraId="11AB382E" w14:textId="73F76367" w:rsidR="00F761A5" w:rsidRDefault="00750322" w:rsidP="007E6E25">
      <w:pPr>
        <w:pStyle w:val="ListParagraph"/>
        <w:numPr>
          <w:ilvl w:val="0"/>
          <w:numId w:val="2"/>
        </w:numPr>
        <w:spacing w:line="240" w:lineRule="auto"/>
      </w:pPr>
      <w:r>
        <w:t xml:space="preserve">Ensure they’re familiar with all relevant legislation and the contents of this document </w:t>
      </w:r>
    </w:p>
    <w:p w14:paraId="6CE78C4F" w14:textId="690B5CE3" w:rsidR="00F761A5" w:rsidRDefault="00750322" w:rsidP="007E6E25">
      <w:pPr>
        <w:pStyle w:val="ListParagraph"/>
        <w:numPr>
          <w:ilvl w:val="0"/>
          <w:numId w:val="2"/>
        </w:numPr>
        <w:spacing w:line="240" w:lineRule="auto"/>
      </w:pPr>
      <w:r>
        <w:t xml:space="preserve">Attend appropriate equality and diversity training </w:t>
      </w:r>
    </w:p>
    <w:p w14:paraId="0345D4BE" w14:textId="77777777" w:rsidR="00F761A5" w:rsidRDefault="00750322" w:rsidP="007E6E25">
      <w:pPr>
        <w:spacing w:line="240" w:lineRule="auto"/>
      </w:pPr>
      <w:r>
        <w:t xml:space="preserve">The </w:t>
      </w:r>
      <w:proofErr w:type="spellStart"/>
      <w:r>
        <w:t>headteacher</w:t>
      </w:r>
      <w:proofErr w:type="spellEnd"/>
      <w:r>
        <w:t xml:space="preserve"> will:</w:t>
      </w:r>
    </w:p>
    <w:p w14:paraId="615ECB63" w14:textId="4CD7CD4B" w:rsidR="00F761A5" w:rsidRDefault="00750322" w:rsidP="007E6E25">
      <w:pPr>
        <w:pStyle w:val="ListParagraph"/>
        <w:numPr>
          <w:ilvl w:val="0"/>
          <w:numId w:val="2"/>
        </w:numPr>
        <w:spacing w:line="240" w:lineRule="auto"/>
      </w:pPr>
      <w:r>
        <w:t>Promote knowledge and understanding of the equality objectives amongst staff and pupils</w:t>
      </w:r>
    </w:p>
    <w:p w14:paraId="78073DE5" w14:textId="74AD58AE" w:rsidR="00F761A5" w:rsidRDefault="00750322" w:rsidP="007E6E25">
      <w:pPr>
        <w:pStyle w:val="ListParagraph"/>
        <w:numPr>
          <w:ilvl w:val="0"/>
          <w:numId w:val="2"/>
        </w:numPr>
        <w:spacing w:line="240" w:lineRule="auto"/>
      </w:pPr>
      <w:r>
        <w:t xml:space="preserve">Monitor success in achieving the objectives and report back to governors </w:t>
      </w:r>
    </w:p>
    <w:p w14:paraId="39300B90" w14:textId="78451553" w:rsidR="00F761A5" w:rsidRDefault="00F761A5" w:rsidP="007E6E25">
      <w:pPr>
        <w:pStyle w:val="ListParagraph"/>
        <w:numPr>
          <w:ilvl w:val="0"/>
          <w:numId w:val="2"/>
        </w:numPr>
        <w:spacing w:line="240" w:lineRule="auto"/>
      </w:pPr>
      <w:r>
        <w:t>Ensure that this policy and equality objectives are published on the school’s website</w:t>
      </w:r>
    </w:p>
    <w:p w14:paraId="54EFF3A2" w14:textId="3D2A964A" w:rsidR="00F761A5" w:rsidRDefault="00750322" w:rsidP="007E6E25">
      <w:pPr>
        <w:spacing w:line="240" w:lineRule="auto"/>
      </w:pPr>
      <w:r>
        <w:t xml:space="preserve">All </w:t>
      </w:r>
      <w:r w:rsidR="00F761A5">
        <w:t>PFMAC</w:t>
      </w:r>
      <w:r>
        <w:t xml:space="preserve"> and school staff are expected to have regard to this document and to work to achieve the objectives as set out in for each school on their website.</w:t>
      </w:r>
    </w:p>
    <w:p w14:paraId="6D5D6526" w14:textId="77777777" w:rsidR="00A00C2F" w:rsidRDefault="00750322" w:rsidP="007E6E25">
      <w:pPr>
        <w:pStyle w:val="ListParagraph"/>
        <w:numPr>
          <w:ilvl w:val="0"/>
          <w:numId w:val="5"/>
        </w:numPr>
        <w:spacing w:line="240" w:lineRule="auto"/>
      </w:pPr>
      <w:r>
        <w:lastRenderedPageBreak/>
        <w:t xml:space="preserve">ELIMINATING DISCRIMINATION </w:t>
      </w:r>
    </w:p>
    <w:p w14:paraId="31E24928" w14:textId="042A397A" w:rsidR="00A00C2F" w:rsidRDefault="00750322" w:rsidP="007E6E25">
      <w:pPr>
        <w:spacing w:line="240" w:lineRule="auto"/>
      </w:pPr>
      <w:r>
        <w:t xml:space="preserve">The </w:t>
      </w:r>
      <w:r w:rsidR="00A00C2F">
        <w:t>PFMAC</w:t>
      </w:r>
      <w:r>
        <w:t xml:space="preserve"> is aware of its obligations under the Equality Act 2010 and complies with non</w:t>
      </w:r>
      <w:r w:rsidR="00F761A5">
        <w:t>-</w:t>
      </w:r>
      <w:r>
        <w:t>discrimination provisions.</w:t>
      </w:r>
    </w:p>
    <w:p w14:paraId="2D7CAC35" w14:textId="77777777" w:rsidR="00A00C2F" w:rsidRDefault="00750322" w:rsidP="007E6E25">
      <w:pPr>
        <w:pStyle w:val="ListParagraph"/>
        <w:numPr>
          <w:ilvl w:val="0"/>
          <w:numId w:val="5"/>
        </w:numPr>
        <w:spacing w:line="240" w:lineRule="auto"/>
      </w:pPr>
      <w:r>
        <w:t xml:space="preserve">ADVANCING EQUALITY OF OPPORTUNITY </w:t>
      </w:r>
    </w:p>
    <w:p w14:paraId="0F890138" w14:textId="5289435A" w:rsidR="00A00C2F" w:rsidRDefault="00750322" w:rsidP="007E6E25">
      <w:pPr>
        <w:spacing w:line="240" w:lineRule="auto"/>
      </w:pPr>
      <w:r>
        <w:t xml:space="preserve">As set out in the </w:t>
      </w:r>
      <w:proofErr w:type="spellStart"/>
      <w:r>
        <w:t>DfE</w:t>
      </w:r>
      <w:proofErr w:type="spellEnd"/>
      <w:r>
        <w:t xml:space="preserve"> guidance on the Equality Act, the </w:t>
      </w:r>
      <w:r w:rsidR="007E6E25">
        <w:t xml:space="preserve">PFMAC </w:t>
      </w:r>
      <w:r>
        <w:t xml:space="preserve">aims to advance equality of opportunity by: </w:t>
      </w:r>
    </w:p>
    <w:p w14:paraId="58D991A7" w14:textId="35271141" w:rsidR="00750322" w:rsidRDefault="00750322" w:rsidP="007E6E25">
      <w:pPr>
        <w:pStyle w:val="ListParagraph"/>
        <w:numPr>
          <w:ilvl w:val="0"/>
          <w:numId w:val="2"/>
        </w:numPr>
        <w:spacing w:line="240" w:lineRule="auto"/>
      </w:pPr>
      <w:r>
        <w:t>Removing or minimising disadvantages suffered by people which are connected to a particular characteristic</w:t>
      </w:r>
    </w:p>
    <w:p w14:paraId="53825417" w14:textId="16D61784" w:rsidR="00750322" w:rsidRDefault="00750322" w:rsidP="007E6E25">
      <w:pPr>
        <w:pStyle w:val="ListParagraph"/>
        <w:numPr>
          <w:ilvl w:val="0"/>
          <w:numId w:val="10"/>
        </w:numPr>
        <w:spacing w:line="240" w:lineRule="auto"/>
      </w:pPr>
      <w:r>
        <w:t xml:space="preserve">Removing or minimising disadvantages suffered by people which are connected to a </w:t>
      </w:r>
    </w:p>
    <w:p w14:paraId="5254CC2D" w14:textId="7FFD980E" w:rsidR="00750322" w:rsidRDefault="00750322" w:rsidP="007E6E25">
      <w:pPr>
        <w:pStyle w:val="ListParagraph"/>
        <w:spacing w:line="240" w:lineRule="auto"/>
        <w:ind w:left="1080"/>
      </w:pPr>
      <w:r>
        <w:t xml:space="preserve">particular characteristic they have </w:t>
      </w:r>
    </w:p>
    <w:p w14:paraId="3D960B61" w14:textId="77777777" w:rsidR="00A00C2F" w:rsidRDefault="00750322" w:rsidP="007E6E25">
      <w:pPr>
        <w:pStyle w:val="ListParagraph"/>
        <w:numPr>
          <w:ilvl w:val="0"/>
          <w:numId w:val="10"/>
        </w:numPr>
        <w:spacing w:line="240" w:lineRule="auto"/>
      </w:pPr>
      <w:r>
        <w:t>Taking steps to meet the particular needs of people who have a particular characteristic</w:t>
      </w:r>
    </w:p>
    <w:p w14:paraId="2362459C" w14:textId="75C7CAEA" w:rsidR="00750322" w:rsidRDefault="00750322" w:rsidP="007E6E25">
      <w:pPr>
        <w:pStyle w:val="ListParagraph"/>
        <w:numPr>
          <w:ilvl w:val="0"/>
          <w:numId w:val="10"/>
        </w:numPr>
        <w:spacing w:line="240" w:lineRule="auto"/>
      </w:pPr>
      <w:r>
        <w:t xml:space="preserve">Encouraging people who have a particular characteristic to participate fully in any activities </w:t>
      </w:r>
    </w:p>
    <w:p w14:paraId="0CC06953" w14:textId="77777777" w:rsidR="007E6E25" w:rsidRDefault="007E6E25" w:rsidP="007E6E25">
      <w:pPr>
        <w:pStyle w:val="ListParagraph"/>
        <w:spacing w:line="240" w:lineRule="auto"/>
        <w:ind w:left="1080"/>
      </w:pPr>
    </w:p>
    <w:p w14:paraId="386A437A" w14:textId="0803C580" w:rsidR="00750322" w:rsidRDefault="00750322" w:rsidP="007E6E25">
      <w:pPr>
        <w:pStyle w:val="ListParagraph"/>
        <w:numPr>
          <w:ilvl w:val="0"/>
          <w:numId w:val="5"/>
        </w:numPr>
        <w:spacing w:line="240" w:lineRule="auto"/>
      </w:pPr>
      <w:r>
        <w:t>FOSTERING GOOD RELATIONS</w:t>
      </w:r>
    </w:p>
    <w:p w14:paraId="514B2072" w14:textId="77ED57B9" w:rsidR="00750322" w:rsidRDefault="00750322" w:rsidP="007E6E25">
      <w:pPr>
        <w:spacing w:line="240" w:lineRule="auto"/>
      </w:pPr>
      <w:r>
        <w:t xml:space="preserve">The </w:t>
      </w:r>
      <w:r w:rsidR="008C2790">
        <w:t>PFMAC</w:t>
      </w:r>
      <w:r>
        <w:t xml:space="preserve"> aims to foster good relations between those who share a protected characteristic and those who do not share it by:</w:t>
      </w:r>
    </w:p>
    <w:p w14:paraId="4A2885A9" w14:textId="55B7E5E2" w:rsidR="00750322" w:rsidRDefault="00750322" w:rsidP="007E6E25">
      <w:pPr>
        <w:pStyle w:val="ListParagraph"/>
        <w:numPr>
          <w:ilvl w:val="0"/>
          <w:numId w:val="10"/>
        </w:numPr>
        <w:spacing w:line="240" w:lineRule="auto"/>
      </w:pPr>
      <w:r>
        <w:t xml:space="preserve">Promoting tolerance, friendship and understanding of a range of religions and cultures </w:t>
      </w:r>
    </w:p>
    <w:p w14:paraId="4D48BA88" w14:textId="403F5CD5" w:rsidR="00750322" w:rsidRDefault="00750322" w:rsidP="007E6E25">
      <w:pPr>
        <w:pStyle w:val="ListParagraph"/>
        <w:spacing w:line="240" w:lineRule="auto"/>
        <w:ind w:left="1080"/>
      </w:pPr>
      <w:r>
        <w:t xml:space="preserve">through different aspects of our curriculum. </w:t>
      </w:r>
    </w:p>
    <w:p w14:paraId="5D149D8B" w14:textId="77777777" w:rsidR="00A00C2F" w:rsidRDefault="00750322" w:rsidP="007E6E25">
      <w:pPr>
        <w:pStyle w:val="ListParagraph"/>
        <w:numPr>
          <w:ilvl w:val="0"/>
          <w:numId w:val="10"/>
        </w:numPr>
        <w:spacing w:line="240" w:lineRule="auto"/>
      </w:pPr>
      <w:r>
        <w:t>Holding assemblies dealing with relevant issues. Pupils will be encouraged to take a lead in such assemblies and we will also invite external speakers to contribute</w:t>
      </w:r>
    </w:p>
    <w:p w14:paraId="73ACA5D3" w14:textId="4C95416F" w:rsidR="00A00C2F" w:rsidRDefault="00750322" w:rsidP="007E6E25">
      <w:pPr>
        <w:pStyle w:val="ListParagraph"/>
        <w:numPr>
          <w:ilvl w:val="0"/>
          <w:numId w:val="10"/>
        </w:numPr>
        <w:spacing w:line="240" w:lineRule="auto"/>
      </w:pPr>
      <w:r>
        <w:t xml:space="preserve">Working with our local community. </w:t>
      </w:r>
    </w:p>
    <w:p w14:paraId="14FC2694" w14:textId="77777777" w:rsidR="007E6E25" w:rsidRDefault="007E6E25" w:rsidP="007E6E25">
      <w:pPr>
        <w:pStyle w:val="ListParagraph"/>
        <w:spacing w:line="240" w:lineRule="auto"/>
        <w:ind w:left="1080"/>
      </w:pPr>
    </w:p>
    <w:p w14:paraId="78FD9638" w14:textId="7B03FEA0" w:rsidR="00750322" w:rsidRDefault="00750322" w:rsidP="007E6E25">
      <w:pPr>
        <w:pStyle w:val="ListParagraph"/>
        <w:numPr>
          <w:ilvl w:val="0"/>
          <w:numId w:val="5"/>
        </w:numPr>
        <w:spacing w:line="240" w:lineRule="auto"/>
      </w:pPr>
      <w:r>
        <w:t>EQUALITY CONSIDERATIONS IN DECISION-MAKING</w:t>
      </w:r>
    </w:p>
    <w:p w14:paraId="3378DC1A" w14:textId="0B45507B" w:rsidR="00750322" w:rsidRDefault="00750322" w:rsidP="007E6E25">
      <w:pPr>
        <w:spacing w:after="0" w:line="240" w:lineRule="auto"/>
      </w:pPr>
      <w:r>
        <w:t xml:space="preserve">The </w:t>
      </w:r>
      <w:r w:rsidR="00A00C2F">
        <w:t xml:space="preserve">PFMAC </w:t>
      </w:r>
      <w:r>
        <w:t xml:space="preserve">ensures it has due regard to equality considerations whenever significant decisions are </w:t>
      </w:r>
    </w:p>
    <w:p w14:paraId="35CF1612" w14:textId="5513DA23" w:rsidR="00750322" w:rsidRDefault="00750322" w:rsidP="007E6E25">
      <w:pPr>
        <w:spacing w:after="0" w:line="240" w:lineRule="auto"/>
      </w:pPr>
      <w:r>
        <w:t xml:space="preserve">made. </w:t>
      </w:r>
    </w:p>
    <w:p w14:paraId="75A4618E" w14:textId="77777777" w:rsidR="007E6E25" w:rsidRDefault="007E6E25" w:rsidP="007E6E25">
      <w:pPr>
        <w:spacing w:after="0" w:line="240" w:lineRule="auto"/>
      </w:pPr>
    </w:p>
    <w:p w14:paraId="56949FA8" w14:textId="2340E8E0" w:rsidR="00750322" w:rsidRDefault="00750322" w:rsidP="007E6E25">
      <w:pPr>
        <w:spacing w:after="0" w:line="240" w:lineRule="auto"/>
      </w:pPr>
      <w:r>
        <w:t xml:space="preserve">Each school always considers the impact of significant decisions on particular groups. </w:t>
      </w:r>
    </w:p>
    <w:p w14:paraId="7A0DFBA1" w14:textId="77777777" w:rsidR="00FE2B71" w:rsidRDefault="00FE2B71" w:rsidP="007E6E25">
      <w:pPr>
        <w:pStyle w:val="ListParagraph"/>
        <w:spacing w:line="240" w:lineRule="auto"/>
        <w:ind w:left="1080"/>
      </w:pPr>
    </w:p>
    <w:p w14:paraId="4F5F9ED6" w14:textId="3E9036BE" w:rsidR="00750322" w:rsidRDefault="00750322" w:rsidP="007E6E25">
      <w:pPr>
        <w:pStyle w:val="ListParagraph"/>
        <w:numPr>
          <w:ilvl w:val="0"/>
          <w:numId w:val="5"/>
        </w:numPr>
        <w:spacing w:line="240" w:lineRule="auto"/>
      </w:pPr>
      <w:r>
        <w:t xml:space="preserve"> EQUALITY OBJECTIVES</w:t>
      </w:r>
    </w:p>
    <w:p w14:paraId="707CF965" w14:textId="0C32AE7F" w:rsidR="00750322" w:rsidRDefault="00750322" w:rsidP="007E6E25">
      <w:pPr>
        <w:spacing w:line="240" w:lineRule="auto"/>
      </w:pPr>
      <w:r>
        <w:t>Each school will publish a set of equality objectives specific to their context using the template shown in Appendix A.</w:t>
      </w:r>
    </w:p>
    <w:p w14:paraId="05788371" w14:textId="6C40B507" w:rsidR="00750322" w:rsidRDefault="00750322" w:rsidP="007E6E25">
      <w:pPr>
        <w:pStyle w:val="ListParagraph"/>
        <w:numPr>
          <w:ilvl w:val="0"/>
          <w:numId w:val="5"/>
        </w:numPr>
        <w:spacing w:line="240" w:lineRule="auto"/>
      </w:pPr>
      <w:r>
        <w:t>MONITORING ARRANGEMENTS</w:t>
      </w:r>
    </w:p>
    <w:p w14:paraId="6C46E979" w14:textId="7BDF9163" w:rsidR="00750322" w:rsidRDefault="00750322" w:rsidP="007E6E25">
      <w:pPr>
        <w:spacing w:line="240" w:lineRule="auto"/>
        <w:jc w:val="both"/>
      </w:pPr>
      <w:r>
        <w:t>In the Autumn Term, the</w:t>
      </w:r>
      <w:r w:rsidR="00FE2B71">
        <w:t xml:space="preserve"> </w:t>
      </w:r>
      <w:proofErr w:type="spellStart"/>
      <w:r w:rsidR="00FE2B71">
        <w:t>Headteacher</w:t>
      </w:r>
      <w:proofErr w:type="spellEnd"/>
      <w:r w:rsidR="00FE2B71">
        <w:t xml:space="preserve"> or a</w:t>
      </w:r>
      <w:r>
        <w:t xml:space="preserve"> designated member of staff with responsibility for monitoring equality issues will review the school equality objectives and update the template. This will </w:t>
      </w:r>
      <w:r w:rsidR="00FE2B71">
        <w:t>be reported at the next</w:t>
      </w:r>
      <w:r>
        <w:t xml:space="preserve"> Local Governing Body meeting, where it will be reviewed and published on the school website.</w:t>
      </w:r>
    </w:p>
    <w:p w14:paraId="49625EBE" w14:textId="11A1332A" w:rsidR="00750322" w:rsidRDefault="00750322" w:rsidP="007E6E25">
      <w:pPr>
        <w:spacing w:line="240" w:lineRule="auto"/>
        <w:jc w:val="both"/>
      </w:pPr>
      <w:r>
        <w:t xml:space="preserve">This </w:t>
      </w:r>
      <w:r w:rsidR="00FE2B71">
        <w:t>Policy</w:t>
      </w:r>
      <w:r>
        <w:t xml:space="preserve"> will be reviewed and approved by the </w:t>
      </w:r>
      <w:r w:rsidR="00FE2B71">
        <w:t>PFMAC</w:t>
      </w:r>
      <w:r>
        <w:t xml:space="preserve"> </w:t>
      </w:r>
      <w:r w:rsidR="000719FA">
        <w:t xml:space="preserve">Executive </w:t>
      </w:r>
      <w:r>
        <w:t>Committee at least every 4 years.</w:t>
      </w:r>
    </w:p>
    <w:p w14:paraId="138191DB" w14:textId="1861DB32" w:rsidR="006E543E" w:rsidRDefault="006E543E">
      <w:r>
        <w:br w:type="page"/>
      </w:r>
    </w:p>
    <w:p w14:paraId="7D22C25C" w14:textId="39F87A34" w:rsidR="00010DD8" w:rsidRDefault="001B0F0C" w:rsidP="007E6E25">
      <w:pPr>
        <w:spacing w:line="240" w:lineRule="auto"/>
        <w:jc w:val="both"/>
      </w:pPr>
      <w:r>
        <w:lastRenderedPageBreak/>
        <w:t>APPENDIX A: SCHOOL EQUALITY OBJECTIVES TEMPLATE</w:t>
      </w:r>
    </w:p>
    <w:p w14:paraId="383F9FBB" w14:textId="0C74DF48" w:rsidR="00010DD8" w:rsidRDefault="001B0F0C" w:rsidP="007E6E25">
      <w:pPr>
        <w:spacing w:line="240" w:lineRule="auto"/>
        <w:jc w:val="both"/>
      </w:pPr>
      <w:r>
        <w:rPr>
          <w:noProof/>
          <w:lang w:eastAsia="en-GB"/>
        </w:rPr>
        <w:drawing>
          <wp:anchor distT="0" distB="0" distL="114300" distR="114300" simplePos="0" relativeHeight="251658240" behindDoc="0" locked="0" layoutInCell="1" allowOverlap="1" wp14:anchorId="31D7BB97" wp14:editId="3123D2EB">
            <wp:simplePos x="0" y="0"/>
            <wp:positionH relativeFrom="margin">
              <wp:posOffset>1160780</wp:posOffset>
            </wp:positionH>
            <wp:positionV relativeFrom="margin">
              <wp:posOffset>317500</wp:posOffset>
            </wp:positionV>
            <wp:extent cx="3448050" cy="116388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48050" cy="1163884"/>
                    </a:xfrm>
                    <a:prstGeom prst="rect">
                      <a:avLst/>
                    </a:prstGeom>
                    <a:noFill/>
                  </pic:spPr>
                </pic:pic>
              </a:graphicData>
            </a:graphic>
          </wp:anchor>
        </w:drawing>
      </w:r>
    </w:p>
    <w:p w14:paraId="37EA232A" w14:textId="1C5C9643" w:rsidR="00750322" w:rsidRDefault="00750322" w:rsidP="00750322"/>
    <w:p w14:paraId="3A1A0A69" w14:textId="140E2D59" w:rsidR="006E543E" w:rsidRDefault="006E543E" w:rsidP="00750322"/>
    <w:p w14:paraId="7EEE6294" w14:textId="1A48D143" w:rsidR="006E543E" w:rsidRDefault="006E543E" w:rsidP="00750322"/>
    <w:p w14:paraId="603FDCEB" w14:textId="77777777" w:rsidR="001B0F0C" w:rsidRDefault="001B0F0C" w:rsidP="006E543E">
      <w:pPr>
        <w:jc w:val="center"/>
        <w:rPr>
          <w:b/>
          <w:bCs/>
        </w:rPr>
      </w:pPr>
    </w:p>
    <w:p w14:paraId="7690B6CD" w14:textId="0D0B15CA" w:rsidR="006E543E" w:rsidRDefault="006E543E" w:rsidP="006E543E">
      <w:pPr>
        <w:jc w:val="center"/>
        <w:rPr>
          <w:b/>
          <w:bCs/>
        </w:rPr>
      </w:pPr>
      <w:r w:rsidRPr="006E543E">
        <w:rPr>
          <w:b/>
          <w:bCs/>
        </w:rPr>
        <w:t>Equality Objectives</w:t>
      </w:r>
    </w:p>
    <w:tbl>
      <w:tblPr>
        <w:tblStyle w:val="TableGrid"/>
        <w:tblW w:w="10348" w:type="dxa"/>
        <w:tblInd w:w="-714" w:type="dxa"/>
        <w:tblLook w:val="04A0" w:firstRow="1" w:lastRow="0" w:firstColumn="1" w:lastColumn="0" w:noHBand="0" w:noVBand="1"/>
      </w:tblPr>
      <w:tblGrid>
        <w:gridCol w:w="2836"/>
        <w:gridCol w:w="2386"/>
        <w:gridCol w:w="2575"/>
        <w:gridCol w:w="2551"/>
      </w:tblGrid>
      <w:tr w:rsidR="007F18D8" w14:paraId="085716F2" w14:textId="77777777" w:rsidTr="00502AD7">
        <w:tc>
          <w:tcPr>
            <w:tcW w:w="2836" w:type="dxa"/>
            <w:shd w:val="clear" w:color="auto" w:fill="D9E2F3" w:themeFill="accent1" w:themeFillTint="33"/>
          </w:tcPr>
          <w:p w14:paraId="0F7ED247" w14:textId="0719E986" w:rsidR="007F18D8" w:rsidRDefault="007F18D8" w:rsidP="006E543E">
            <w:pPr>
              <w:jc w:val="center"/>
              <w:rPr>
                <w:b/>
                <w:bCs/>
              </w:rPr>
            </w:pPr>
            <w:r>
              <w:rPr>
                <w:b/>
                <w:bCs/>
              </w:rPr>
              <w:t>School</w:t>
            </w:r>
          </w:p>
        </w:tc>
        <w:tc>
          <w:tcPr>
            <w:tcW w:w="2386" w:type="dxa"/>
          </w:tcPr>
          <w:p w14:paraId="0F55ABFD" w14:textId="77777777" w:rsidR="007F18D8" w:rsidRDefault="007F18D8" w:rsidP="006E543E">
            <w:pPr>
              <w:jc w:val="center"/>
              <w:rPr>
                <w:b/>
                <w:bCs/>
              </w:rPr>
            </w:pPr>
          </w:p>
        </w:tc>
        <w:tc>
          <w:tcPr>
            <w:tcW w:w="2575" w:type="dxa"/>
            <w:shd w:val="clear" w:color="auto" w:fill="D9E2F3" w:themeFill="accent1" w:themeFillTint="33"/>
          </w:tcPr>
          <w:p w14:paraId="64B3B33E" w14:textId="13654F7B" w:rsidR="007F18D8" w:rsidRDefault="007F18D8" w:rsidP="006E543E">
            <w:pPr>
              <w:jc w:val="center"/>
              <w:rPr>
                <w:b/>
                <w:bCs/>
              </w:rPr>
            </w:pPr>
            <w:r>
              <w:rPr>
                <w:b/>
                <w:bCs/>
              </w:rPr>
              <w:t>Date of report</w:t>
            </w:r>
          </w:p>
        </w:tc>
        <w:tc>
          <w:tcPr>
            <w:tcW w:w="2551" w:type="dxa"/>
          </w:tcPr>
          <w:p w14:paraId="5CF0436A" w14:textId="77777777" w:rsidR="007F18D8" w:rsidRDefault="007F18D8" w:rsidP="006E543E">
            <w:pPr>
              <w:jc w:val="center"/>
              <w:rPr>
                <w:b/>
                <w:bCs/>
              </w:rPr>
            </w:pPr>
          </w:p>
        </w:tc>
      </w:tr>
      <w:tr w:rsidR="007F18D8" w14:paraId="5AD8C5E8" w14:textId="77777777" w:rsidTr="00502AD7">
        <w:tc>
          <w:tcPr>
            <w:tcW w:w="2836" w:type="dxa"/>
            <w:shd w:val="clear" w:color="auto" w:fill="D9E2F3" w:themeFill="accent1" w:themeFillTint="33"/>
          </w:tcPr>
          <w:p w14:paraId="101808CD" w14:textId="5BEBB025" w:rsidR="007F18D8" w:rsidRDefault="007F18D8" w:rsidP="006E543E">
            <w:pPr>
              <w:jc w:val="center"/>
              <w:rPr>
                <w:b/>
                <w:bCs/>
              </w:rPr>
            </w:pPr>
            <w:r>
              <w:rPr>
                <w:b/>
                <w:bCs/>
              </w:rPr>
              <w:t>Equality Objective</w:t>
            </w:r>
          </w:p>
        </w:tc>
        <w:tc>
          <w:tcPr>
            <w:tcW w:w="2386" w:type="dxa"/>
            <w:shd w:val="clear" w:color="auto" w:fill="D9E2F3" w:themeFill="accent1" w:themeFillTint="33"/>
          </w:tcPr>
          <w:p w14:paraId="05164D82" w14:textId="5EF0BD9F" w:rsidR="007F18D8" w:rsidRDefault="007F18D8" w:rsidP="006E543E">
            <w:pPr>
              <w:jc w:val="center"/>
              <w:rPr>
                <w:b/>
                <w:bCs/>
              </w:rPr>
            </w:pPr>
            <w:r>
              <w:rPr>
                <w:b/>
                <w:bCs/>
              </w:rPr>
              <w:t>Why we have chosen this objective</w:t>
            </w:r>
          </w:p>
        </w:tc>
        <w:tc>
          <w:tcPr>
            <w:tcW w:w="2575" w:type="dxa"/>
            <w:shd w:val="clear" w:color="auto" w:fill="D9E2F3" w:themeFill="accent1" w:themeFillTint="33"/>
          </w:tcPr>
          <w:p w14:paraId="43A82E12" w14:textId="7085DD4D" w:rsidR="007F18D8" w:rsidRDefault="007F18D8" w:rsidP="006E543E">
            <w:pPr>
              <w:jc w:val="center"/>
              <w:rPr>
                <w:b/>
                <w:bCs/>
              </w:rPr>
            </w:pPr>
            <w:r>
              <w:rPr>
                <w:b/>
                <w:bCs/>
              </w:rPr>
              <w:t>To achieve this objective we plan to</w:t>
            </w:r>
          </w:p>
        </w:tc>
        <w:tc>
          <w:tcPr>
            <w:tcW w:w="2551" w:type="dxa"/>
            <w:shd w:val="clear" w:color="auto" w:fill="D9E2F3" w:themeFill="accent1" w:themeFillTint="33"/>
          </w:tcPr>
          <w:p w14:paraId="25FC4B12" w14:textId="62D6284C" w:rsidR="007F18D8" w:rsidRDefault="007F18D8" w:rsidP="006E543E">
            <w:pPr>
              <w:jc w:val="center"/>
              <w:rPr>
                <w:b/>
                <w:bCs/>
              </w:rPr>
            </w:pPr>
            <w:r>
              <w:rPr>
                <w:b/>
                <w:bCs/>
              </w:rPr>
              <w:t>Progress we are making</w:t>
            </w:r>
            <w:r w:rsidR="00EC10A1">
              <w:rPr>
                <w:b/>
                <w:bCs/>
              </w:rPr>
              <w:t xml:space="preserve"> (completed as part of review process annually in each autumn term)</w:t>
            </w:r>
          </w:p>
        </w:tc>
      </w:tr>
      <w:tr w:rsidR="007F18D8" w14:paraId="653065A2" w14:textId="77777777" w:rsidTr="00502AD7">
        <w:tc>
          <w:tcPr>
            <w:tcW w:w="2836" w:type="dxa"/>
          </w:tcPr>
          <w:p w14:paraId="1A531432" w14:textId="1D11365E" w:rsidR="00EC10A1" w:rsidRPr="00502AD7" w:rsidRDefault="00502AD7" w:rsidP="00502AD7">
            <w:pPr>
              <w:rPr>
                <w:bCs/>
              </w:rPr>
            </w:pPr>
            <w:r>
              <w:rPr>
                <w:bCs/>
              </w:rPr>
              <w:t>To ensure that all learners are of equal value.</w:t>
            </w:r>
          </w:p>
          <w:p w14:paraId="492D435A" w14:textId="2087F1C7" w:rsidR="00EC10A1" w:rsidRPr="00502AD7" w:rsidRDefault="00EC10A1" w:rsidP="006E543E">
            <w:pPr>
              <w:jc w:val="center"/>
              <w:rPr>
                <w:bCs/>
              </w:rPr>
            </w:pPr>
            <w:bookmarkStart w:id="0" w:name="_GoBack"/>
            <w:bookmarkEnd w:id="0"/>
          </w:p>
        </w:tc>
        <w:tc>
          <w:tcPr>
            <w:tcW w:w="2386" w:type="dxa"/>
          </w:tcPr>
          <w:p w14:paraId="687DA703" w14:textId="46672057" w:rsidR="007F18D8" w:rsidRPr="00502AD7" w:rsidRDefault="00502AD7" w:rsidP="00502AD7">
            <w:pPr>
              <w:rPr>
                <w:bCs/>
              </w:rPr>
            </w:pPr>
            <w:r>
              <w:rPr>
                <w:bCs/>
              </w:rPr>
              <w:t>So that all pupils recognise and respect difference.</w:t>
            </w:r>
          </w:p>
        </w:tc>
        <w:tc>
          <w:tcPr>
            <w:tcW w:w="2575" w:type="dxa"/>
          </w:tcPr>
          <w:p w14:paraId="377D1DB2" w14:textId="2771AE1D" w:rsidR="007F18D8" w:rsidRPr="00502AD7" w:rsidRDefault="00502AD7" w:rsidP="00502AD7">
            <w:pPr>
              <w:rPr>
                <w:bCs/>
              </w:rPr>
            </w:pPr>
            <w:r>
              <w:rPr>
                <w:bCs/>
              </w:rPr>
              <w:t>Monitor and analyse pupil achievement and attendance data by disadvantage race, gender and disability, and act on any trends or patterns in the data that require additional support for pupils.  Analyses to be shared and discussed with governors.</w:t>
            </w:r>
          </w:p>
        </w:tc>
        <w:tc>
          <w:tcPr>
            <w:tcW w:w="2551" w:type="dxa"/>
          </w:tcPr>
          <w:p w14:paraId="55E8F5F4" w14:textId="77777777" w:rsidR="007F18D8" w:rsidRPr="00502AD7" w:rsidRDefault="007F18D8" w:rsidP="006E543E">
            <w:pPr>
              <w:jc w:val="center"/>
              <w:rPr>
                <w:bCs/>
              </w:rPr>
            </w:pPr>
          </w:p>
        </w:tc>
      </w:tr>
      <w:tr w:rsidR="007F18D8" w14:paraId="538F673F" w14:textId="77777777" w:rsidTr="00502AD7">
        <w:tc>
          <w:tcPr>
            <w:tcW w:w="2836" w:type="dxa"/>
          </w:tcPr>
          <w:p w14:paraId="3BC3EEED" w14:textId="145E6458" w:rsidR="00EC10A1" w:rsidRPr="00502AD7" w:rsidRDefault="00502AD7" w:rsidP="00502AD7">
            <w:pPr>
              <w:rPr>
                <w:bCs/>
              </w:rPr>
            </w:pPr>
            <w:r>
              <w:rPr>
                <w:bCs/>
              </w:rPr>
              <w:t>To ensure the school’s core values and virtues are at the heart of our activities and that the curriculum reflects our inclusive ethos which recognises diversity as a strength of the school.</w:t>
            </w:r>
          </w:p>
          <w:p w14:paraId="0CB7E972" w14:textId="337F754E" w:rsidR="00EC10A1" w:rsidRPr="00502AD7" w:rsidRDefault="00EC10A1" w:rsidP="006E543E">
            <w:pPr>
              <w:jc w:val="center"/>
              <w:rPr>
                <w:bCs/>
              </w:rPr>
            </w:pPr>
          </w:p>
        </w:tc>
        <w:tc>
          <w:tcPr>
            <w:tcW w:w="2386" w:type="dxa"/>
          </w:tcPr>
          <w:p w14:paraId="06837BFB" w14:textId="1FEBC3E5" w:rsidR="007F18D8" w:rsidRPr="00502AD7" w:rsidRDefault="00502AD7" w:rsidP="00502AD7">
            <w:pPr>
              <w:rPr>
                <w:bCs/>
              </w:rPr>
            </w:pPr>
            <w:r>
              <w:rPr>
                <w:bCs/>
              </w:rPr>
              <w:t>Everybody in the community is valued and diversity is welcomed.</w:t>
            </w:r>
          </w:p>
        </w:tc>
        <w:tc>
          <w:tcPr>
            <w:tcW w:w="2575" w:type="dxa"/>
          </w:tcPr>
          <w:p w14:paraId="60D43128" w14:textId="77777777" w:rsidR="007F18D8" w:rsidRDefault="00502AD7" w:rsidP="00502AD7">
            <w:pPr>
              <w:rPr>
                <w:bCs/>
              </w:rPr>
            </w:pPr>
            <w:r>
              <w:rPr>
                <w:bCs/>
              </w:rPr>
              <w:t>Governors, staff, children and families understand our values and virtues.</w:t>
            </w:r>
          </w:p>
          <w:p w14:paraId="7D37FD2F" w14:textId="0A0ED40B" w:rsidR="00502AD7" w:rsidRPr="00502AD7" w:rsidRDefault="00502AD7" w:rsidP="00502AD7">
            <w:pPr>
              <w:rPr>
                <w:bCs/>
              </w:rPr>
            </w:pPr>
            <w:r>
              <w:rPr>
                <w:bCs/>
              </w:rPr>
              <w:t>PSHE curriculum supports further development of an inclusive school.</w:t>
            </w:r>
          </w:p>
        </w:tc>
        <w:tc>
          <w:tcPr>
            <w:tcW w:w="2551" w:type="dxa"/>
          </w:tcPr>
          <w:p w14:paraId="67F8EC55" w14:textId="2725CE2A" w:rsidR="007F18D8" w:rsidRPr="00502AD7" w:rsidRDefault="007F18D8" w:rsidP="00502AD7">
            <w:pPr>
              <w:rPr>
                <w:bCs/>
              </w:rPr>
            </w:pPr>
          </w:p>
        </w:tc>
      </w:tr>
      <w:tr w:rsidR="007F18D8" w14:paraId="684E45B6" w14:textId="77777777" w:rsidTr="00502AD7">
        <w:tc>
          <w:tcPr>
            <w:tcW w:w="2836" w:type="dxa"/>
          </w:tcPr>
          <w:p w14:paraId="50E29B6D" w14:textId="75392A9A" w:rsidR="007F18D8" w:rsidRPr="00502AD7" w:rsidRDefault="00502AD7" w:rsidP="00502AD7">
            <w:pPr>
              <w:rPr>
                <w:bCs/>
              </w:rPr>
            </w:pPr>
            <w:r>
              <w:rPr>
                <w:bCs/>
              </w:rPr>
              <w:t xml:space="preserve">To ensure pupils are </w:t>
            </w:r>
            <w:proofErr w:type="gramStart"/>
            <w:r>
              <w:rPr>
                <w:bCs/>
              </w:rPr>
              <w:t>prepares</w:t>
            </w:r>
            <w:proofErr w:type="gramEnd"/>
            <w:r>
              <w:rPr>
                <w:bCs/>
              </w:rPr>
              <w:t xml:space="preserve"> for life in modern Britain and the next stage of their learning.</w:t>
            </w:r>
          </w:p>
          <w:p w14:paraId="3D235F53" w14:textId="77777777" w:rsidR="00EC10A1" w:rsidRPr="00502AD7" w:rsidRDefault="00EC10A1" w:rsidP="006E543E">
            <w:pPr>
              <w:jc w:val="center"/>
              <w:rPr>
                <w:bCs/>
              </w:rPr>
            </w:pPr>
          </w:p>
          <w:p w14:paraId="3F78CB15" w14:textId="20717F0A" w:rsidR="00EC10A1" w:rsidRPr="00502AD7" w:rsidRDefault="00EC10A1" w:rsidP="006E543E">
            <w:pPr>
              <w:jc w:val="center"/>
              <w:rPr>
                <w:bCs/>
              </w:rPr>
            </w:pPr>
          </w:p>
        </w:tc>
        <w:tc>
          <w:tcPr>
            <w:tcW w:w="2386" w:type="dxa"/>
          </w:tcPr>
          <w:p w14:paraId="0EFF2734" w14:textId="77777777" w:rsidR="007F18D8" w:rsidRDefault="00502AD7" w:rsidP="00502AD7">
            <w:pPr>
              <w:rPr>
                <w:bCs/>
              </w:rPr>
            </w:pPr>
            <w:r>
              <w:rPr>
                <w:bCs/>
              </w:rPr>
              <w:t>Ensure all pupils are given the opportunity to make a positive contribution to the life of the school, for example through involvement in the School Council, Prefects, Anti-bullying Ambassadors, etc.</w:t>
            </w:r>
          </w:p>
          <w:p w14:paraId="1813AD63" w14:textId="531EF32A" w:rsidR="00502AD7" w:rsidRPr="00502AD7" w:rsidRDefault="00502AD7" w:rsidP="00502AD7">
            <w:pPr>
              <w:rPr>
                <w:bCs/>
              </w:rPr>
            </w:pPr>
            <w:r>
              <w:rPr>
                <w:bCs/>
              </w:rPr>
              <w:t>Increase positions of responsibility open to pupils.</w:t>
            </w:r>
          </w:p>
        </w:tc>
        <w:tc>
          <w:tcPr>
            <w:tcW w:w="2575" w:type="dxa"/>
          </w:tcPr>
          <w:p w14:paraId="42D77A23" w14:textId="77777777" w:rsidR="007F18D8" w:rsidRDefault="00502AD7" w:rsidP="00502AD7">
            <w:pPr>
              <w:rPr>
                <w:bCs/>
              </w:rPr>
            </w:pPr>
            <w:r>
              <w:rPr>
                <w:bCs/>
              </w:rPr>
              <w:t>Ensure all pupils are given the opportunity to make a positive contribution to the life of the school, for example through involvement in fundraising, Live Simply, Mini Vinnies, etc.</w:t>
            </w:r>
          </w:p>
          <w:p w14:paraId="45EF70C0" w14:textId="6C9AE0D0" w:rsidR="00502AD7" w:rsidRPr="00502AD7" w:rsidRDefault="00502AD7" w:rsidP="00502AD7">
            <w:pPr>
              <w:rPr>
                <w:bCs/>
              </w:rPr>
            </w:pPr>
            <w:r>
              <w:rPr>
                <w:bCs/>
              </w:rPr>
              <w:t>Increase the positions of responsibility open to pupils.</w:t>
            </w:r>
          </w:p>
        </w:tc>
        <w:tc>
          <w:tcPr>
            <w:tcW w:w="2551" w:type="dxa"/>
          </w:tcPr>
          <w:p w14:paraId="0DC56206" w14:textId="77777777" w:rsidR="007F18D8" w:rsidRPr="00502AD7" w:rsidRDefault="007F18D8" w:rsidP="006E543E">
            <w:pPr>
              <w:jc w:val="center"/>
              <w:rPr>
                <w:bCs/>
              </w:rPr>
            </w:pPr>
          </w:p>
        </w:tc>
      </w:tr>
    </w:tbl>
    <w:p w14:paraId="7D4FA7DE" w14:textId="77777777" w:rsidR="001B0F0C" w:rsidRDefault="001B0F0C" w:rsidP="006E543E">
      <w:pPr>
        <w:jc w:val="center"/>
        <w:rPr>
          <w:b/>
          <w:bCs/>
        </w:rPr>
      </w:pPr>
    </w:p>
    <w:p w14:paraId="65187BFE" w14:textId="77599FEE" w:rsidR="006E543E" w:rsidRDefault="006E543E" w:rsidP="006E543E">
      <w:pPr>
        <w:jc w:val="center"/>
        <w:rPr>
          <w:b/>
          <w:bCs/>
        </w:rPr>
      </w:pPr>
    </w:p>
    <w:p w14:paraId="44595370" w14:textId="77777777" w:rsidR="006E543E" w:rsidRPr="006E543E" w:rsidRDefault="006E543E" w:rsidP="006E543E">
      <w:pPr>
        <w:jc w:val="center"/>
        <w:rPr>
          <w:b/>
          <w:bCs/>
        </w:rPr>
      </w:pPr>
    </w:p>
    <w:sectPr w:rsidR="006E543E" w:rsidRPr="006E543E" w:rsidSect="00FE2B71">
      <w:pgSz w:w="11906" w:h="16838"/>
      <w:pgMar w:top="1440"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2A5B"/>
    <w:multiLevelType w:val="hybridMultilevel"/>
    <w:tmpl w:val="BE66EC48"/>
    <w:lvl w:ilvl="0" w:tplc="FC60B33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5738A"/>
    <w:multiLevelType w:val="hybridMultilevel"/>
    <w:tmpl w:val="A2040D20"/>
    <w:lvl w:ilvl="0" w:tplc="FC60B33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D72E4"/>
    <w:multiLevelType w:val="hybridMultilevel"/>
    <w:tmpl w:val="78362676"/>
    <w:lvl w:ilvl="0" w:tplc="FC60B33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2636508"/>
    <w:multiLevelType w:val="hybridMultilevel"/>
    <w:tmpl w:val="5466360E"/>
    <w:lvl w:ilvl="0" w:tplc="FC60B334">
      <w:numFmt w:val="bullet"/>
      <w:lvlText w:val=""/>
      <w:lvlJc w:val="left"/>
      <w:pPr>
        <w:ind w:left="180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5BE13BD"/>
    <w:multiLevelType w:val="hybridMultilevel"/>
    <w:tmpl w:val="E2E062A8"/>
    <w:lvl w:ilvl="0" w:tplc="FC60B334">
      <w:numFmt w:val="bullet"/>
      <w:lvlText w:val=""/>
      <w:lvlJc w:val="left"/>
      <w:pPr>
        <w:ind w:left="180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6AF3EF1"/>
    <w:multiLevelType w:val="hybridMultilevel"/>
    <w:tmpl w:val="DAB86F7A"/>
    <w:lvl w:ilvl="0" w:tplc="FC60B33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F80B65"/>
    <w:multiLevelType w:val="hybridMultilevel"/>
    <w:tmpl w:val="71147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131165"/>
    <w:multiLevelType w:val="hybridMultilevel"/>
    <w:tmpl w:val="EC761ED0"/>
    <w:lvl w:ilvl="0" w:tplc="FC60B334">
      <w:numFmt w:val="bullet"/>
      <w:lvlText w:val=""/>
      <w:lvlJc w:val="left"/>
      <w:pPr>
        <w:ind w:left="180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37B5B1C"/>
    <w:multiLevelType w:val="hybridMultilevel"/>
    <w:tmpl w:val="A588FD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1D4AA5"/>
    <w:multiLevelType w:val="hybridMultilevel"/>
    <w:tmpl w:val="C71E3DBC"/>
    <w:lvl w:ilvl="0" w:tplc="FC60B33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D87CAB"/>
    <w:multiLevelType w:val="hybridMultilevel"/>
    <w:tmpl w:val="F74CE21A"/>
    <w:lvl w:ilvl="0" w:tplc="FC60B33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8868F0"/>
    <w:multiLevelType w:val="hybridMultilevel"/>
    <w:tmpl w:val="0AF842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2"/>
  </w:num>
  <w:num w:numId="3">
    <w:abstractNumId w:val="7"/>
  </w:num>
  <w:num w:numId="4">
    <w:abstractNumId w:val="6"/>
  </w:num>
  <w:num w:numId="5">
    <w:abstractNumId w:val="8"/>
  </w:num>
  <w:num w:numId="6">
    <w:abstractNumId w:val="4"/>
  </w:num>
  <w:num w:numId="7">
    <w:abstractNumId w:val="3"/>
  </w:num>
  <w:num w:numId="8">
    <w:abstractNumId w:val="1"/>
  </w:num>
  <w:num w:numId="9">
    <w:abstractNumId w:val="5"/>
  </w:num>
  <w:num w:numId="10">
    <w:abstractNumId w:val="0"/>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322"/>
    <w:rsid w:val="00010DD8"/>
    <w:rsid w:val="00064449"/>
    <w:rsid w:val="000719FA"/>
    <w:rsid w:val="00186709"/>
    <w:rsid w:val="001B0F0C"/>
    <w:rsid w:val="00502AD7"/>
    <w:rsid w:val="006E543E"/>
    <w:rsid w:val="00747B6C"/>
    <w:rsid w:val="00750322"/>
    <w:rsid w:val="007B084F"/>
    <w:rsid w:val="007E6E25"/>
    <w:rsid w:val="007F18D8"/>
    <w:rsid w:val="00895958"/>
    <w:rsid w:val="008C2790"/>
    <w:rsid w:val="009D47B7"/>
    <w:rsid w:val="009F73E8"/>
    <w:rsid w:val="00A00C2F"/>
    <w:rsid w:val="00B821DE"/>
    <w:rsid w:val="00BA049E"/>
    <w:rsid w:val="00E26299"/>
    <w:rsid w:val="00EC10A1"/>
    <w:rsid w:val="00F761A5"/>
    <w:rsid w:val="00FE2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E8A26"/>
  <w15:chartTrackingRefBased/>
  <w15:docId w15:val="{F27E5072-B042-44DC-8610-A0701E01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709"/>
    <w:pPr>
      <w:ind w:left="720"/>
      <w:contextualSpacing/>
    </w:pPr>
  </w:style>
  <w:style w:type="table" w:styleId="TableGrid">
    <w:name w:val="Table Grid"/>
    <w:basedOn w:val="TableNormal"/>
    <w:uiPriority w:val="59"/>
    <w:rsid w:val="00FE2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Wells</dc:creator>
  <cp:keywords/>
  <dc:description/>
  <cp:lastModifiedBy>breda bowles</cp:lastModifiedBy>
  <cp:revision>3</cp:revision>
  <dcterms:created xsi:type="dcterms:W3CDTF">2023-02-23T10:31:00Z</dcterms:created>
  <dcterms:modified xsi:type="dcterms:W3CDTF">2023-02-23T10:46:00Z</dcterms:modified>
</cp:coreProperties>
</file>