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071C37E" w14:textId="77777777" w:rsidR="00387FDD" w:rsidRPr="00387FDD" w:rsidRDefault="00387FDD" w:rsidP="00387FDD">
      <w:pPr>
        <w:pStyle w:val="Heading1"/>
        <w:jc w:val="center"/>
        <w:rPr>
          <w:rFonts w:ascii="Twinkl" w:hAnsi="Twinkl"/>
          <w:sz w:val="28"/>
          <w:u w:val="single"/>
        </w:rPr>
      </w:pPr>
      <w:r w:rsidRPr="00387FDD">
        <w:rPr>
          <w:rFonts w:ascii="Twinkl" w:hAnsi="Twinkl"/>
          <w:sz w:val="28"/>
          <w:u w:val="single"/>
        </w:rPr>
        <w:t>History</w:t>
      </w:r>
    </w:p>
    <w:p w14:paraId="5765AFC2" w14:textId="77777777" w:rsidR="00387FDD" w:rsidRPr="00387FDD" w:rsidRDefault="00387FDD" w:rsidP="00387FDD">
      <w:pPr>
        <w:jc w:val="center"/>
        <w:rPr>
          <w:rFonts w:ascii="Twinkl" w:hAnsi="Twinkl"/>
          <w:sz w:val="24"/>
          <w:szCs w:val="24"/>
        </w:rPr>
      </w:pPr>
      <w:r w:rsidRPr="00387FDD">
        <w:rPr>
          <w:rFonts w:ascii="Twinkl" w:hAnsi="Twinkl"/>
          <w:sz w:val="24"/>
          <w:szCs w:val="24"/>
        </w:rPr>
        <w:t>Progression develops chronological understanding, substantive knowledge and disciplinary thinking: enquiry, evidence, causation, change/continuity, significance and interpretation.</w:t>
      </w:r>
    </w:p>
    <w:tbl>
      <w:tblPr>
        <w:tblStyle w:val="TableGrid"/>
        <w:tblW w:w="15021" w:type="dxa"/>
        <w:jc w:val="center"/>
        <w:tblLook w:val="04A0" w:firstRow="1" w:lastRow="0" w:firstColumn="1" w:lastColumn="0" w:noHBand="0" w:noVBand="1"/>
      </w:tblPr>
      <w:tblGrid>
        <w:gridCol w:w="1159"/>
        <w:gridCol w:w="1398"/>
        <w:gridCol w:w="2519"/>
        <w:gridCol w:w="1644"/>
        <w:gridCol w:w="1411"/>
        <w:gridCol w:w="2064"/>
        <w:gridCol w:w="1755"/>
        <w:gridCol w:w="3071"/>
      </w:tblGrid>
      <w:tr w:rsidR="00387FDD" w:rsidRPr="00387FDD" w14:paraId="1CD09B90" w14:textId="77777777" w:rsidTr="00387FDD">
        <w:trPr>
          <w:tblHeader/>
          <w:jc w:val="center"/>
        </w:trPr>
        <w:tc>
          <w:tcPr>
            <w:tcW w:w="1159" w:type="dxa"/>
            <w:shd w:val="clear" w:color="auto" w:fill="70263D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73149065" w14:textId="77777777" w:rsidR="00387FDD" w:rsidRPr="00387FDD" w:rsidRDefault="00387FDD" w:rsidP="00387FDD">
            <w:pPr>
              <w:jc w:val="center"/>
              <w:rPr>
                <w:rFonts w:ascii="Twinkl" w:hAnsi="Twinkl"/>
                <w:sz w:val="24"/>
                <w:szCs w:val="24"/>
              </w:rPr>
            </w:pPr>
            <w:r w:rsidRPr="00387FDD">
              <w:rPr>
                <w:rFonts w:ascii="Twinkl" w:hAnsi="Twinkl"/>
                <w:b/>
                <w:color w:val="FFFFFF"/>
                <w:sz w:val="24"/>
                <w:szCs w:val="24"/>
              </w:rPr>
              <w:t>Phase</w:t>
            </w:r>
          </w:p>
        </w:tc>
        <w:tc>
          <w:tcPr>
            <w:tcW w:w="1398" w:type="dxa"/>
            <w:shd w:val="clear" w:color="auto" w:fill="70263D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76F47A9C" w14:textId="77777777" w:rsidR="00387FDD" w:rsidRPr="00387FDD" w:rsidRDefault="00387FDD" w:rsidP="00387FDD">
            <w:pPr>
              <w:jc w:val="center"/>
              <w:rPr>
                <w:rFonts w:ascii="Twinkl" w:hAnsi="Twinkl"/>
                <w:sz w:val="24"/>
                <w:szCs w:val="24"/>
              </w:rPr>
            </w:pPr>
            <w:r w:rsidRPr="00387FDD">
              <w:rPr>
                <w:rFonts w:ascii="Twinkl" w:hAnsi="Twinkl"/>
                <w:b/>
                <w:color w:val="FFFFFF"/>
                <w:sz w:val="24"/>
                <w:szCs w:val="24"/>
              </w:rPr>
              <w:t>Term 1 focus</w:t>
            </w:r>
          </w:p>
        </w:tc>
        <w:tc>
          <w:tcPr>
            <w:tcW w:w="2519" w:type="dxa"/>
            <w:shd w:val="clear" w:color="auto" w:fill="70263D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1C109FB2" w14:textId="77777777" w:rsidR="00387FDD" w:rsidRPr="00387FDD" w:rsidRDefault="00387FDD" w:rsidP="00387FDD">
            <w:pPr>
              <w:jc w:val="center"/>
              <w:rPr>
                <w:rFonts w:ascii="Twinkl" w:hAnsi="Twinkl"/>
                <w:sz w:val="24"/>
                <w:szCs w:val="24"/>
              </w:rPr>
            </w:pPr>
            <w:r w:rsidRPr="00387FDD">
              <w:rPr>
                <w:rFonts w:ascii="Twinkl" w:hAnsi="Twinkl"/>
                <w:b/>
                <w:color w:val="FFFFFF"/>
                <w:sz w:val="24"/>
                <w:szCs w:val="24"/>
              </w:rPr>
              <w:t>Knowledge &amp; skills progression</w:t>
            </w:r>
          </w:p>
        </w:tc>
        <w:tc>
          <w:tcPr>
            <w:tcW w:w="1644" w:type="dxa"/>
            <w:shd w:val="clear" w:color="auto" w:fill="70263D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44CB2E3B" w14:textId="77777777" w:rsidR="00387FDD" w:rsidRPr="00387FDD" w:rsidRDefault="00387FDD" w:rsidP="00387FDD">
            <w:pPr>
              <w:jc w:val="center"/>
              <w:rPr>
                <w:rFonts w:ascii="Twinkl" w:hAnsi="Twinkl"/>
                <w:sz w:val="24"/>
                <w:szCs w:val="24"/>
              </w:rPr>
            </w:pPr>
            <w:r w:rsidRPr="00387FDD">
              <w:rPr>
                <w:rFonts w:ascii="Twinkl" w:hAnsi="Twinkl"/>
                <w:b/>
                <w:color w:val="FFFFFF"/>
                <w:sz w:val="24"/>
                <w:szCs w:val="24"/>
              </w:rPr>
              <w:t>Key vocabulary</w:t>
            </w:r>
          </w:p>
        </w:tc>
        <w:tc>
          <w:tcPr>
            <w:tcW w:w="1411" w:type="dxa"/>
            <w:shd w:val="clear" w:color="auto" w:fill="70263D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41B95A9C" w14:textId="77777777" w:rsidR="00387FDD" w:rsidRPr="00387FDD" w:rsidRDefault="00387FDD" w:rsidP="00387FDD">
            <w:pPr>
              <w:jc w:val="center"/>
              <w:rPr>
                <w:rFonts w:ascii="Twinkl" w:hAnsi="Twinkl"/>
                <w:sz w:val="24"/>
                <w:szCs w:val="24"/>
              </w:rPr>
            </w:pPr>
            <w:r w:rsidRPr="00387FDD">
              <w:rPr>
                <w:rFonts w:ascii="Twinkl" w:hAnsi="Twinkl"/>
                <w:b/>
                <w:color w:val="FFFFFF"/>
                <w:sz w:val="24"/>
                <w:szCs w:val="24"/>
              </w:rPr>
              <w:t>Adaptive teaching / SEND</w:t>
            </w:r>
          </w:p>
        </w:tc>
        <w:tc>
          <w:tcPr>
            <w:tcW w:w="2064" w:type="dxa"/>
            <w:shd w:val="clear" w:color="auto" w:fill="70263D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7ED5EFF4" w14:textId="77777777" w:rsidR="00387FDD" w:rsidRPr="00387FDD" w:rsidRDefault="00387FDD" w:rsidP="00387FDD">
            <w:pPr>
              <w:jc w:val="center"/>
              <w:rPr>
                <w:rFonts w:ascii="Twinkl" w:hAnsi="Twinkl"/>
                <w:sz w:val="24"/>
                <w:szCs w:val="24"/>
              </w:rPr>
            </w:pPr>
            <w:r w:rsidRPr="00387FDD">
              <w:rPr>
                <w:rFonts w:ascii="Twinkl" w:hAnsi="Twinkl"/>
                <w:b/>
                <w:color w:val="FFFFFF"/>
                <w:sz w:val="24"/>
                <w:szCs w:val="24"/>
              </w:rPr>
              <w:t>Assessment evidence</w:t>
            </w:r>
          </w:p>
        </w:tc>
        <w:tc>
          <w:tcPr>
            <w:tcW w:w="1755" w:type="dxa"/>
            <w:shd w:val="clear" w:color="auto" w:fill="70263D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7063694F" w14:textId="77777777" w:rsidR="00387FDD" w:rsidRPr="00387FDD" w:rsidRDefault="00387FDD" w:rsidP="00387FDD">
            <w:pPr>
              <w:jc w:val="center"/>
              <w:rPr>
                <w:rFonts w:ascii="Twinkl" w:hAnsi="Twinkl"/>
                <w:sz w:val="24"/>
                <w:szCs w:val="24"/>
              </w:rPr>
            </w:pPr>
            <w:r w:rsidRPr="00387FDD">
              <w:rPr>
                <w:rFonts w:ascii="Twinkl" w:hAnsi="Twinkl"/>
                <w:b/>
                <w:color w:val="FFFFFF"/>
                <w:sz w:val="24"/>
                <w:szCs w:val="24"/>
              </w:rPr>
              <w:t>Next step</w:t>
            </w:r>
          </w:p>
        </w:tc>
        <w:tc>
          <w:tcPr>
            <w:tcW w:w="3071" w:type="dxa"/>
            <w:shd w:val="clear" w:color="auto" w:fill="70263D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30CBFDB3" w14:textId="77777777" w:rsidR="00387FDD" w:rsidRPr="00387FDD" w:rsidRDefault="00387FDD" w:rsidP="00387FDD">
            <w:pPr>
              <w:jc w:val="center"/>
              <w:rPr>
                <w:rFonts w:ascii="Twinkl" w:hAnsi="Twinkl"/>
                <w:sz w:val="24"/>
                <w:szCs w:val="24"/>
              </w:rPr>
            </w:pPr>
            <w:r w:rsidRPr="00387FDD">
              <w:rPr>
                <w:rFonts w:ascii="Twinkl" w:hAnsi="Twinkl"/>
                <w:b/>
                <w:color w:val="FFFFFF"/>
                <w:sz w:val="24"/>
                <w:szCs w:val="24"/>
              </w:rPr>
              <w:t>Disciplinary thread</w:t>
            </w:r>
          </w:p>
        </w:tc>
      </w:tr>
      <w:tr w:rsidR="00387FDD" w:rsidRPr="00387FDD" w14:paraId="71847018" w14:textId="77777777" w:rsidTr="00387FDD">
        <w:trPr>
          <w:jc w:val="center"/>
        </w:trPr>
        <w:tc>
          <w:tcPr>
            <w:tcW w:w="1159" w:type="dxa"/>
            <w:tcMar>
              <w:top w:w="60" w:type="dxa"/>
              <w:left w:w="60" w:type="dxa"/>
              <w:bottom w:w="60" w:type="dxa"/>
              <w:right w:w="60" w:type="dxa"/>
            </w:tcMar>
          </w:tcPr>
          <w:p w14:paraId="09ECAD7F" w14:textId="77777777" w:rsidR="00387FDD" w:rsidRPr="00387FDD" w:rsidRDefault="00387FDD" w:rsidP="00387FDD">
            <w:pPr>
              <w:jc w:val="center"/>
              <w:rPr>
                <w:rFonts w:ascii="Twinkl" w:hAnsi="Twinkl"/>
                <w:sz w:val="24"/>
                <w:szCs w:val="24"/>
              </w:rPr>
            </w:pPr>
            <w:r w:rsidRPr="00387FDD">
              <w:rPr>
                <w:rFonts w:ascii="Twinkl" w:hAnsi="Twinkl"/>
                <w:b/>
                <w:color w:val="70263D"/>
                <w:sz w:val="24"/>
                <w:szCs w:val="24"/>
              </w:rPr>
              <w:t>Nursery / Reception</w:t>
            </w:r>
          </w:p>
        </w:tc>
        <w:tc>
          <w:tcPr>
            <w:tcW w:w="1398" w:type="dxa"/>
            <w:tcMar>
              <w:top w:w="60" w:type="dxa"/>
              <w:left w:w="60" w:type="dxa"/>
              <w:bottom w:w="60" w:type="dxa"/>
              <w:right w:w="60" w:type="dxa"/>
            </w:tcMar>
          </w:tcPr>
          <w:p w14:paraId="57C88DDE" w14:textId="77777777" w:rsidR="00387FDD" w:rsidRPr="00387FDD" w:rsidRDefault="00387FDD" w:rsidP="00387FDD">
            <w:pPr>
              <w:jc w:val="center"/>
              <w:rPr>
                <w:rFonts w:ascii="Twinkl" w:hAnsi="Twinkl"/>
                <w:sz w:val="24"/>
                <w:szCs w:val="24"/>
              </w:rPr>
            </w:pPr>
            <w:r w:rsidRPr="00387FDD">
              <w:rPr>
                <w:rFonts w:ascii="Twinkl" w:hAnsi="Twinkl"/>
                <w:sz w:val="24"/>
                <w:szCs w:val="24"/>
              </w:rPr>
              <w:t>All About Me</w:t>
            </w:r>
          </w:p>
        </w:tc>
        <w:tc>
          <w:tcPr>
            <w:tcW w:w="2519" w:type="dxa"/>
            <w:tcMar>
              <w:top w:w="60" w:type="dxa"/>
              <w:left w:w="60" w:type="dxa"/>
              <w:bottom w:w="60" w:type="dxa"/>
              <w:right w:w="60" w:type="dxa"/>
            </w:tcMar>
          </w:tcPr>
          <w:p w14:paraId="43F76859" w14:textId="77777777" w:rsidR="00387FDD" w:rsidRPr="00387FDD" w:rsidRDefault="00387FDD" w:rsidP="00387FDD">
            <w:pPr>
              <w:jc w:val="center"/>
              <w:rPr>
                <w:rFonts w:ascii="Twinkl" w:hAnsi="Twinkl"/>
                <w:sz w:val="24"/>
                <w:szCs w:val="24"/>
              </w:rPr>
            </w:pPr>
            <w:r w:rsidRPr="00387FDD">
              <w:rPr>
                <w:rFonts w:ascii="Twinkl" w:hAnsi="Twinkl"/>
                <w:sz w:val="24"/>
                <w:szCs w:val="24"/>
              </w:rPr>
              <w:t xml:space="preserve">Talk about own life and family; </w:t>
            </w:r>
            <w:proofErr w:type="spellStart"/>
            <w:r w:rsidRPr="00387FDD">
              <w:rPr>
                <w:rFonts w:ascii="Twinkl" w:hAnsi="Twinkl"/>
                <w:sz w:val="24"/>
                <w:szCs w:val="24"/>
              </w:rPr>
              <w:t>recognise</w:t>
            </w:r>
            <w:proofErr w:type="spellEnd"/>
            <w:r w:rsidRPr="00387FDD">
              <w:rPr>
                <w:rFonts w:ascii="Twinkl" w:hAnsi="Twinkl"/>
                <w:sz w:val="24"/>
                <w:szCs w:val="24"/>
              </w:rPr>
              <w:t xml:space="preserve"> change over time; use simple temporal language; compare past and present through photos, stories and artefacts.</w:t>
            </w:r>
          </w:p>
        </w:tc>
        <w:tc>
          <w:tcPr>
            <w:tcW w:w="1644" w:type="dxa"/>
            <w:tcMar>
              <w:top w:w="60" w:type="dxa"/>
              <w:left w:w="60" w:type="dxa"/>
              <w:bottom w:w="60" w:type="dxa"/>
              <w:right w:w="60" w:type="dxa"/>
            </w:tcMar>
          </w:tcPr>
          <w:p w14:paraId="056AEAFD" w14:textId="77777777" w:rsidR="00387FDD" w:rsidRPr="00387FDD" w:rsidRDefault="00387FDD" w:rsidP="00387FDD">
            <w:pPr>
              <w:jc w:val="center"/>
              <w:rPr>
                <w:rFonts w:ascii="Twinkl" w:hAnsi="Twinkl"/>
                <w:sz w:val="24"/>
                <w:szCs w:val="24"/>
              </w:rPr>
            </w:pPr>
            <w:r w:rsidRPr="00387FDD">
              <w:rPr>
                <w:rFonts w:ascii="Twinkl" w:hAnsi="Twinkl"/>
                <w:sz w:val="24"/>
                <w:szCs w:val="24"/>
              </w:rPr>
              <w:t>past, present, before, now, old, new</w:t>
            </w:r>
          </w:p>
        </w:tc>
        <w:tc>
          <w:tcPr>
            <w:tcW w:w="1411" w:type="dxa"/>
            <w:tcMar>
              <w:top w:w="60" w:type="dxa"/>
              <w:left w:w="60" w:type="dxa"/>
              <w:bottom w:w="60" w:type="dxa"/>
              <w:right w:w="60" w:type="dxa"/>
            </w:tcMar>
          </w:tcPr>
          <w:p w14:paraId="71C5986A" w14:textId="77777777" w:rsidR="00387FDD" w:rsidRPr="00387FDD" w:rsidRDefault="00387FDD" w:rsidP="00387FDD">
            <w:pPr>
              <w:jc w:val="center"/>
              <w:rPr>
                <w:rFonts w:ascii="Twinkl" w:hAnsi="Twinkl"/>
                <w:sz w:val="24"/>
                <w:szCs w:val="24"/>
              </w:rPr>
            </w:pPr>
            <w:r w:rsidRPr="00387FDD">
              <w:rPr>
                <w:rFonts w:ascii="Twinkl" w:hAnsi="Twinkl"/>
                <w:sz w:val="24"/>
                <w:szCs w:val="24"/>
              </w:rPr>
              <w:t>Personal timelines, family photos, concrete artefacts, oral storytelling.</w:t>
            </w:r>
          </w:p>
        </w:tc>
        <w:tc>
          <w:tcPr>
            <w:tcW w:w="2064" w:type="dxa"/>
            <w:tcMar>
              <w:top w:w="60" w:type="dxa"/>
              <w:left w:w="60" w:type="dxa"/>
              <w:bottom w:w="60" w:type="dxa"/>
              <w:right w:w="60" w:type="dxa"/>
            </w:tcMar>
          </w:tcPr>
          <w:p w14:paraId="447516AA" w14:textId="77777777" w:rsidR="00387FDD" w:rsidRPr="00387FDD" w:rsidRDefault="00387FDD" w:rsidP="00387FDD">
            <w:pPr>
              <w:jc w:val="center"/>
              <w:rPr>
                <w:rFonts w:ascii="Twinkl" w:hAnsi="Twinkl"/>
                <w:sz w:val="24"/>
                <w:szCs w:val="24"/>
              </w:rPr>
            </w:pPr>
            <w:r w:rsidRPr="00387FDD">
              <w:rPr>
                <w:rFonts w:ascii="Twinkl" w:hAnsi="Twinkl"/>
                <w:sz w:val="24"/>
                <w:szCs w:val="24"/>
              </w:rPr>
              <w:t>Can children talk about something that happened before now?</w:t>
            </w:r>
          </w:p>
        </w:tc>
        <w:tc>
          <w:tcPr>
            <w:tcW w:w="1755" w:type="dxa"/>
            <w:tcMar>
              <w:top w:w="60" w:type="dxa"/>
              <w:left w:w="60" w:type="dxa"/>
              <w:bottom w:w="60" w:type="dxa"/>
              <w:right w:w="60" w:type="dxa"/>
            </w:tcMar>
          </w:tcPr>
          <w:p w14:paraId="5AF350D9" w14:textId="77777777" w:rsidR="00387FDD" w:rsidRPr="00387FDD" w:rsidRDefault="00387FDD" w:rsidP="00387FDD">
            <w:pPr>
              <w:jc w:val="center"/>
              <w:rPr>
                <w:rFonts w:ascii="Twinkl" w:hAnsi="Twinkl"/>
                <w:sz w:val="24"/>
                <w:szCs w:val="24"/>
              </w:rPr>
            </w:pPr>
            <w:r w:rsidRPr="00387FDD">
              <w:rPr>
                <w:rFonts w:ascii="Twinkl" w:hAnsi="Twinkl"/>
                <w:sz w:val="24"/>
                <w:szCs w:val="24"/>
              </w:rPr>
              <w:t>Establish chronological language and curiosity about evidence.</w:t>
            </w:r>
          </w:p>
        </w:tc>
        <w:tc>
          <w:tcPr>
            <w:tcW w:w="3071" w:type="dxa"/>
            <w:tcMar>
              <w:top w:w="60" w:type="dxa"/>
              <w:left w:w="60" w:type="dxa"/>
              <w:bottom w:w="60" w:type="dxa"/>
              <w:right w:w="60" w:type="dxa"/>
            </w:tcMar>
          </w:tcPr>
          <w:p w14:paraId="43716D8C" w14:textId="77777777" w:rsidR="00387FDD" w:rsidRPr="00387FDD" w:rsidRDefault="00387FDD" w:rsidP="00387FDD">
            <w:pPr>
              <w:jc w:val="center"/>
              <w:rPr>
                <w:rFonts w:ascii="Twinkl" w:hAnsi="Twinkl"/>
                <w:sz w:val="24"/>
                <w:szCs w:val="24"/>
              </w:rPr>
            </w:pPr>
            <w:r w:rsidRPr="00387FDD">
              <w:rPr>
                <w:rFonts w:ascii="Twinkl" w:hAnsi="Twinkl"/>
                <w:sz w:val="24"/>
                <w:szCs w:val="24"/>
              </w:rPr>
              <w:t>Chronology • evidence • interpretation • causation/change</w:t>
            </w:r>
          </w:p>
        </w:tc>
      </w:tr>
      <w:tr w:rsidR="00387FDD" w:rsidRPr="00387FDD" w14:paraId="6B9212F8" w14:textId="77777777" w:rsidTr="00387FDD">
        <w:trPr>
          <w:jc w:val="center"/>
        </w:trPr>
        <w:tc>
          <w:tcPr>
            <w:tcW w:w="1159" w:type="dxa"/>
            <w:shd w:val="clear" w:color="auto" w:fill="F1EEE8"/>
            <w:tcMar>
              <w:top w:w="60" w:type="dxa"/>
              <w:left w:w="60" w:type="dxa"/>
              <w:bottom w:w="60" w:type="dxa"/>
              <w:right w:w="60" w:type="dxa"/>
            </w:tcMar>
          </w:tcPr>
          <w:p w14:paraId="00CD3991" w14:textId="77777777" w:rsidR="00387FDD" w:rsidRPr="00387FDD" w:rsidRDefault="00387FDD" w:rsidP="00387FDD">
            <w:pPr>
              <w:jc w:val="center"/>
              <w:rPr>
                <w:rFonts w:ascii="Twinkl" w:hAnsi="Twinkl"/>
                <w:sz w:val="24"/>
                <w:szCs w:val="24"/>
              </w:rPr>
            </w:pPr>
            <w:r w:rsidRPr="00387FDD">
              <w:rPr>
                <w:rFonts w:ascii="Twinkl" w:hAnsi="Twinkl"/>
                <w:b/>
                <w:color w:val="70263D"/>
                <w:sz w:val="24"/>
                <w:szCs w:val="24"/>
              </w:rPr>
              <w:t>Year 1</w:t>
            </w:r>
          </w:p>
        </w:tc>
        <w:tc>
          <w:tcPr>
            <w:tcW w:w="1398" w:type="dxa"/>
            <w:shd w:val="clear" w:color="auto" w:fill="F1EEE8"/>
            <w:tcMar>
              <w:top w:w="60" w:type="dxa"/>
              <w:left w:w="60" w:type="dxa"/>
              <w:bottom w:w="60" w:type="dxa"/>
              <w:right w:w="60" w:type="dxa"/>
            </w:tcMar>
          </w:tcPr>
          <w:p w14:paraId="5C261211" w14:textId="77777777" w:rsidR="00387FDD" w:rsidRPr="00387FDD" w:rsidRDefault="00387FDD" w:rsidP="00387FDD">
            <w:pPr>
              <w:jc w:val="center"/>
              <w:rPr>
                <w:rFonts w:ascii="Twinkl" w:hAnsi="Twinkl"/>
                <w:sz w:val="24"/>
                <w:szCs w:val="24"/>
              </w:rPr>
            </w:pPr>
            <w:r w:rsidRPr="00387FDD">
              <w:rPr>
                <w:rFonts w:ascii="Twinkl" w:hAnsi="Twinkl"/>
                <w:sz w:val="24"/>
                <w:szCs w:val="24"/>
              </w:rPr>
              <w:t>Local area links where appropriate</w:t>
            </w:r>
          </w:p>
        </w:tc>
        <w:tc>
          <w:tcPr>
            <w:tcW w:w="2519" w:type="dxa"/>
            <w:shd w:val="clear" w:color="auto" w:fill="F1EEE8"/>
            <w:tcMar>
              <w:top w:w="60" w:type="dxa"/>
              <w:left w:w="60" w:type="dxa"/>
              <w:bottom w:w="60" w:type="dxa"/>
              <w:right w:w="60" w:type="dxa"/>
            </w:tcMar>
          </w:tcPr>
          <w:p w14:paraId="3B8FFE54" w14:textId="77777777" w:rsidR="00387FDD" w:rsidRPr="00387FDD" w:rsidRDefault="00387FDD" w:rsidP="00387FDD">
            <w:pPr>
              <w:jc w:val="center"/>
              <w:rPr>
                <w:rFonts w:ascii="Twinkl" w:hAnsi="Twinkl"/>
                <w:sz w:val="24"/>
                <w:szCs w:val="24"/>
              </w:rPr>
            </w:pPr>
            <w:r w:rsidRPr="00387FDD">
              <w:rPr>
                <w:rFonts w:ascii="Twinkl" w:hAnsi="Twinkl"/>
                <w:sz w:val="24"/>
                <w:szCs w:val="24"/>
              </w:rPr>
              <w:t>Sequence recent events; identify similarities/differences between ways of life; ask questions about familiar local past using pictures/objects.</w:t>
            </w:r>
          </w:p>
        </w:tc>
        <w:tc>
          <w:tcPr>
            <w:tcW w:w="1644" w:type="dxa"/>
            <w:shd w:val="clear" w:color="auto" w:fill="F1EEE8"/>
            <w:tcMar>
              <w:top w:w="60" w:type="dxa"/>
              <w:left w:w="60" w:type="dxa"/>
              <w:bottom w:w="60" w:type="dxa"/>
              <w:right w:w="60" w:type="dxa"/>
            </w:tcMar>
          </w:tcPr>
          <w:p w14:paraId="1E1CADE4" w14:textId="77777777" w:rsidR="00387FDD" w:rsidRPr="00387FDD" w:rsidRDefault="00387FDD" w:rsidP="00387FDD">
            <w:pPr>
              <w:jc w:val="center"/>
              <w:rPr>
                <w:rFonts w:ascii="Twinkl" w:hAnsi="Twinkl"/>
                <w:sz w:val="24"/>
                <w:szCs w:val="24"/>
              </w:rPr>
            </w:pPr>
            <w:r w:rsidRPr="00387FDD">
              <w:rPr>
                <w:rFonts w:ascii="Twinkl" w:hAnsi="Twinkl"/>
                <w:sz w:val="24"/>
                <w:szCs w:val="24"/>
              </w:rPr>
              <w:t>then, now, timeline, evidence, change</w:t>
            </w:r>
          </w:p>
        </w:tc>
        <w:tc>
          <w:tcPr>
            <w:tcW w:w="1411" w:type="dxa"/>
            <w:shd w:val="clear" w:color="auto" w:fill="F1EEE8"/>
            <w:tcMar>
              <w:top w:w="60" w:type="dxa"/>
              <w:left w:w="60" w:type="dxa"/>
              <w:bottom w:w="60" w:type="dxa"/>
              <w:right w:w="60" w:type="dxa"/>
            </w:tcMar>
          </w:tcPr>
          <w:p w14:paraId="4D47C158" w14:textId="77777777" w:rsidR="00387FDD" w:rsidRPr="00387FDD" w:rsidRDefault="00387FDD" w:rsidP="00387FDD">
            <w:pPr>
              <w:jc w:val="center"/>
              <w:rPr>
                <w:rFonts w:ascii="Twinkl" w:hAnsi="Twinkl"/>
                <w:sz w:val="24"/>
                <w:szCs w:val="24"/>
              </w:rPr>
            </w:pPr>
            <w:r w:rsidRPr="00387FDD">
              <w:rPr>
                <w:rFonts w:ascii="Twinkl" w:hAnsi="Twinkl"/>
                <w:sz w:val="24"/>
                <w:szCs w:val="24"/>
              </w:rPr>
              <w:t>Visual timelines, local photos, adult-led enquiry.</w:t>
            </w:r>
          </w:p>
        </w:tc>
        <w:tc>
          <w:tcPr>
            <w:tcW w:w="2064" w:type="dxa"/>
            <w:shd w:val="clear" w:color="auto" w:fill="F1EEE8"/>
            <w:tcMar>
              <w:top w:w="60" w:type="dxa"/>
              <w:left w:w="60" w:type="dxa"/>
              <w:bottom w:w="60" w:type="dxa"/>
              <w:right w:w="60" w:type="dxa"/>
            </w:tcMar>
          </w:tcPr>
          <w:p w14:paraId="54D12BAD" w14:textId="77777777" w:rsidR="00387FDD" w:rsidRPr="00387FDD" w:rsidRDefault="00387FDD" w:rsidP="00387FDD">
            <w:pPr>
              <w:jc w:val="center"/>
              <w:rPr>
                <w:rFonts w:ascii="Twinkl" w:hAnsi="Twinkl"/>
                <w:sz w:val="24"/>
                <w:szCs w:val="24"/>
              </w:rPr>
            </w:pPr>
            <w:r w:rsidRPr="00387FDD">
              <w:rPr>
                <w:rFonts w:ascii="Twinkl" w:hAnsi="Twinkl"/>
                <w:sz w:val="24"/>
                <w:szCs w:val="24"/>
              </w:rPr>
              <w:t>Simple oral/written comparison.</w:t>
            </w:r>
          </w:p>
        </w:tc>
        <w:tc>
          <w:tcPr>
            <w:tcW w:w="1755" w:type="dxa"/>
            <w:shd w:val="clear" w:color="auto" w:fill="F1EEE8"/>
            <w:tcMar>
              <w:top w:w="60" w:type="dxa"/>
              <w:left w:w="60" w:type="dxa"/>
              <w:bottom w:w="60" w:type="dxa"/>
              <w:right w:w="60" w:type="dxa"/>
            </w:tcMar>
          </w:tcPr>
          <w:p w14:paraId="77857C76" w14:textId="77777777" w:rsidR="00387FDD" w:rsidRPr="00387FDD" w:rsidRDefault="00387FDD" w:rsidP="00387FDD">
            <w:pPr>
              <w:jc w:val="center"/>
              <w:rPr>
                <w:rFonts w:ascii="Twinkl" w:hAnsi="Twinkl"/>
                <w:sz w:val="24"/>
                <w:szCs w:val="24"/>
              </w:rPr>
            </w:pPr>
            <w:r w:rsidRPr="00387FDD">
              <w:rPr>
                <w:rFonts w:ascii="Twinkl" w:hAnsi="Twinkl"/>
                <w:sz w:val="24"/>
                <w:szCs w:val="24"/>
              </w:rPr>
              <w:t>Prepare for topic-based historical enquiry in Year 2.</w:t>
            </w:r>
          </w:p>
        </w:tc>
        <w:tc>
          <w:tcPr>
            <w:tcW w:w="3071" w:type="dxa"/>
            <w:shd w:val="clear" w:color="auto" w:fill="F1EEE8"/>
            <w:tcMar>
              <w:top w:w="60" w:type="dxa"/>
              <w:left w:w="60" w:type="dxa"/>
              <w:bottom w:w="60" w:type="dxa"/>
              <w:right w:w="60" w:type="dxa"/>
            </w:tcMar>
          </w:tcPr>
          <w:p w14:paraId="5704BB4B" w14:textId="77777777" w:rsidR="00387FDD" w:rsidRPr="00387FDD" w:rsidRDefault="00387FDD" w:rsidP="00387FDD">
            <w:pPr>
              <w:jc w:val="center"/>
              <w:rPr>
                <w:rFonts w:ascii="Twinkl" w:hAnsi="Twinkl"/>
                <w:sz w:val="24"/>
                <w:szCs w:val="24"/>
              </w:rPr>
            </w:pPr>
            <w:r w:rsidRPr="00387FDD">
              <w:rPr>
                <w:rFonts w:ascii="Twinkl" w:hAnsi="Twinkl"/>
                <w:sz w:val="24"/>
                <w:szCs w:val="24"/>
              </w:rPr>
              <w:t>Chronology • evidence • interpretation • causation/change</w:t>
            </w:r>
          </w:p>
        </w:tc>
      </w:tr>
      <w:tr w:rsidR="00387FDD" w:rsidRPr="00387FDD" w14:paraId="4F471909" w14:textId="77777777" w:rsidTr="00387FDD">
        <w:trPr>
          <w:jc w:val="center"/>
        </w:trPr>
        <w:tc>
          <w:tcPr>
            <w:tcW w:w="1159" w:type="dxa"/>
            <w:tcMar>
              <w:top w:w="60" w:type="dxa"/>
              <w:left w:w="60" w:type="dxa"/>
              <w:bottom w:w="60" w:type="dxa"/>
              <w:right w:w="60" w:type="dxa"/>
            </w:tcMar>
          </w:tcPr>
          <w:p w14:paraId="5DEEB56B" w14:textId="77777777" w:rsidR="00387FDD" w:rsidRPr="00387FDD" w:rsidRDefault="00387FDD" w:rsidP="00387FDD">
            <w:pPr>
              <w:jc w:val="center"/>
              <w:rPr>
                <w:rFonts w:ascii="Twinkl" w:hAnsi="Twinkl"/>
                <w:sz w:val="24"/>
                <w:szCs w:val="24"/>
              </w:rPr>
            </w:pPr>
            <w:r w:rsidRPr="00387FDD">
              <w:rPr>
                <w:rFonts w:ascii="Twinkl" w:hAnsi="Twinkl"/>
                <w:b/>
                <w:color w:val="70263D"/>
                <w:sz w:val="24"/>
                <w:szCs w:val="24"/>
              </w:rPr>
              <w:lastRenderedPageBreak/>
              <w:t>Year 2</w:t>
            </w:r>
          </w:p>
        </w:tc>
        <w:tc>
          <w:tcPr>
            <w:tcW w:w="1398" w:type="dxa"/>
            <w:tcMar>
              <w:top w:w="60" w:type="dxa"/>
              <w:left w:w="60" w:type="dxa"/>
              <w:bottom w:w="60" w:type="dxa"/>
              <w:right w:w="60" w:type="dxa"/>
            </w:tcMar>
          </w:tcPr>
          <w:p w14:paraId="29B2B77E" w14:textId="77777777" w:rsidR="00387FDD" w:rsidRPr="00387FDD" w:rsidRDefault="00387FDD" w:rsidP="00387FDD">
            <w:pPr>
              <w:jc w:val="center"/>
              <w:rPr>
                <w:rFonts w:ascii="Twinkl" w:hAnsi="Twinkl"/>
                <w:sz w:val="24"/>
                <w:szCs w:val="24"/>
              </w:rPr>
            </w:pPr>
            <w:r w:rsidRPr="00387FDD">
              <w:rPr>
                <w:rFonts w:ascii="Twinkl" w:hAnsi="Twinkl"/>
                <w:sz w:val="24"/>
                <w:szCs w:val="24"/>
              </w:rPr>
              <w:t>Technology</w:t>
            </w:r>
          </w:p>
        </w:tc>
        <w:tc>
          <w:tcPr>
            <w:tcW w:w="2519" w:type="dxa"/>
            <w:tcMar>
              <w:top w:w="60" w:type="dxa"/>
              <w:left w:w="60" w:type="dxa"/>
              <w:bottom w:w="60" w:type="dxa"/>
              <w:right w:w="60" w:type="dxa"/>
            </w:tcMar>
          </w:tcPr>
          <w:p w14:paraId="48362CA6" w14:textId="77777777" w:rsidR="00387FDD" w:rsidRPr="00387FDD" w:rsidRDefault="00387FDD" w:rsidP="00387FDD">
            <w:pPr>
              <w:jc w:val="center"/>
              <w:rPr>
                <w:rFonts w:ascii="Twinkl" w:hAnsi="Twinkl"/>
                <w:sz w:val="24"/>
                <w:szCs w:val="24"/>
              </w:rPr>
            </w:pPr>
            <w:r w:rsidRPr="00387FDD">
              <w:rPr>
                <w:rFonts w:ascii="Twinkl" w:hAnsi="Twinkl"/>
                <w:sz w:val="24"/>
                <w:szCs w:val="24"/>
              </w:rPr>
              <w:t xml:space="preserve">Understand how technology has changed over time; sequence developments; identify causes/consequences in simple terms; use sources to answer questions; </w:t>
            </w:r>
            <w:proofErr w:type="spellStart"/>
            <w:r w:rsidRPr="00387FDD">
              <w:rPr>
                <w:rFonts w:ascii="Twinkl" w:hAnsi="Twinkl"/>
                <w:sz w:val="24"/>
                <w:szCs w:val="24"/>
              </w:rPr>
              <w:t>recognise</w:t>
            </w:r>
            <w:proofErr w:type="spellEnd"/>
            <w:r w:rsidRPr="00387FDD">
              <w:rPr>
                <w:rFonts w:ascii="Twinkl" w:hAnsi="Twinkl"/>
                <w:sz w:val="24"/>
                <w:szCs w:val="24"/>
              </w:rPr>
              <w:t xml:space="preserve"> that accounts can differ.</w:t>
            </w:r>
          </w:p>
        </w:tc>
        <w:tc>
          <w:tcPr>
            <w:tcW w:w="1644" w:type="dxa"/>
            <w:tcMar>
              <w:top w:w="60" w:type="dxa"/>
              <w:left w:w="60" w:type="dxa"/>
              <w:bottom w:w="60" w:type="dxa"/>
              <w:right w:w="60" w:type="dxa"/>
            </w:tcMar>
          </w:tcPr>
          <w:p w14:paraId="615BA7E8" w14:textId="77777777" w:rsidR="00387FDD" w:rsidRPr="00387FDD" w:rsidRDefault="00387FDD" w:rsidP="00387FDD">
            <w:pPr>
              <w:jc w:val="center"/>
              <w:rPr>
                <w:rFonts w:ascii="Twinkl" w:hAnsi="Twinkl"/>
                <w:sz w:val="24"/>
                <w:szCs w:val="24"/>
              </w:rPr>
            </w:pPr>
            <w:r w:rsidRPr="00387FDD">
              <w:rPr>
                <w:rFonts w:ascii="Twinkl" w:hAnsi="Twinkl"/>
                <w:sz w:val="24"/>
                <w:szCs w:val="24"/>
              </w:rPr>
              <w:t>technology, invention, source, evidence, change, continuity</w:t>
            </w:r>
          </w:p>
        </w:tc>
        <w:tc>
          <w:tcPr>
            <w:tcW w:w="1411" w:type="dxa"/>
            <w:tcMar>
              <w:top w:w="60" w:type="dxa"/>
              <w:left w:w="60" w:type="dxa"/>
              <w:bottom w:w="60" w:type="dxa"/>
              <w:right w:w="60" w:type="dxa"/>
            </w:tcMar>
          </w:tcPr>
          <w:p w14:paraId="144553B0" w14:textId="77777777" w:rsidR="00387FDD" w:rsidRPr="00387FDD" w:rsidRDefault="00387FDD" w:rsidP="00387FDD">
            <w:pPr>
              <w:jc w:val="center"/>
              <w:rPr>
                <w:rFonts w:ascii="Twinkl" w:hAnsi="Twinkl"/>
                <w:sz w:val="24"/>
                <w:szCs w:val="24"/>
              </w:rPr>
            </w:pPr>
            <w:r w:rsidRPr="00387FDD">
              <w:rPr>
                <w:rFonts w:ascii="Twinkl" w:hAnsi="Twinkl"/>
                <w:sz w:val="24"/>
                <w:szCs w:val="24"/>
              </w:rPr>
              <w:t>Real/replica objects, image sorting, before/after frames.</w:t>
            </w:r>
          </w:p>
        </w:tc>
        <w:tc>
          <w:tcPr>
            <w:tcW w:w="2064" w:type="dxa"/>
            <w:tcMar>
              <w:top w:w="60" w:type="dxa"/>
              <w:left w:w="60" w:type="dxa"/>
              <w:bottom w:w="60" w:type="dxa"/>
              <w:right w:w="60" w:type="dxa"/>
            </w:tcMar>
          </w:tcPr>
          <w:p w14:paraId="42A849B3" w14:textId="77777777" w:rsidR="00387FDD" w:rsidRPr="00387FDD" w:rsidRDefault="00387FDD" w:rsidP="00387FDD">
            <w:pPr>
              <w:jc w:val="center"/>
              <w:rPr>
                <w:rFonts w:ascii="Twinkl" w:hAnsi="Twinkl"/>
                <w:sz w:val="24"/>
                <w:szCs w:val="24"/>
              </w:rPr>
            </w:pPr>
            <w:r w:rsidRPr="00387FDD">
              <w:rPr>
                <w:rFonts w:ascii="Twinkl" w:hAnsi="Twinkl"/>
                <w:sz w:val="24"/>
                <w:szCs w:val="24"/>
              </w:rPr>
              <w:t>Chronology task and source-based explanation.</w:t>
            </w:r>
          </w:p>
        </w:tc>
        <w:tc>
          <w:tcPr>
            <w:tcW w:w="1755" w:type="dxa"/>
            <w:tcMar>
              <w:top w:w="60" w:type="dxa"/>
              <w:left w:w="60" w:type="dxa"/>
              <w:bottom w:w="60" w:type="dxa"/>
              <w:right w:w="60" w:type="dxa"/>
            </w:tcMar>
          </w:tcPr>
          <w:p w14:paraId="4D202BCC" w14:textId="77777777" w:rsidR="00387FDD" w:rsidRPr="00387FDD" w:rsidRDefault="00387FDD" w:rsidP="00387FDD">
            <w:pPr>
              <w:jc w:val="center"/>
              <w:rPr>
                <w:rFonts w:ascii="Twinkl" w:hAnsi="Twinkl"/>
                <w:sz w:val="24"/>
                <w:szCs w:val="24"/>
              </w:rPr>
            </w:pPr>
            <w:r w:rsidRPr="00387FDD">
              <w:rPr>
                <w:rFonts w:ascii="Twinkl" w:hAnsi="Twinkl"/>
                <w:sz w:val="24"/>
                <w:szCs w:val="24"/>
              </w:rPr>
              <w:t>Develop longer chronological narratives and source interpretation.</w:t>
            </w:r>
          </w:p>
        </w:tc>
        <w:tc>
          <w:tcPr>
            <w:tcW w:w="3071" w:type="dxa"/>
            <w:tcMar>
              <w:top w:w="60" w:type="dxa"/>
              <w:left w:w="60" w:type="dxa"/>
              <w:bottom w:w="60" w:type="dxa"/>
              <w:right w:w="60" w:type="dxa"/>
            </w:tcMar>
          </w:tcPr>
          <w:p w14:paraId="663D0DCB" w14:textId="77777777" w:rsidR="00387FDD" w:rsidRPr="00387FDD" w:rsidRDefault="00387FDD" w:rsidP="00387FDD">
            <w:pPr>
              <w:jc w:val="center"/>
              <w:rPr>
                <w:rFonts w:ascii="Twinkl" w:hAnsi="Twinkl"/>
                <w:sz w:val="24"/>
                <w:szCs w:val="24"/>
              </w:rPr>
            </w:pPr>
            <w:r w:rsidRPr="00387FDD">
              <w:rPr>
                <w:rFonts w:ascii="Twinkl" w:hAnsi="Twinkl"/>
                <w:sz w:val="24"/>
                <w:szCs w:val="24"/>
              </w:rPr>
              <w:t>Chronology • evidence • interpretation • causation/change</w:t>
            </w:r>
          </w:p>
        </w:tc>
      </w:tr>
      <w:tr w:rsidR="00387FDD" w:rsidRPr="00387FDD" w14:paraId="02886AF5" w14:textId="77777777" w:rsidTr="00387FDD">
        <w:trPr>
          <w:jc w:val="center"/>
        </w:trPr>
        <w:tc>
          <w:tcPr>
            <w:tcW w:w="1159" w:type="dxa"/>
            <w:shd w:val="clear" w:color="auto" w:fill="F1EEE8"/>
            <w:tcMar>
              <w:top w:w="60" w:type="dxa"/>
              <w:left w:w="60" w:type="dxa"/>
              <w:bottom w:w="60" w:type="dxa"/>
              <w:right w:w="60" w:type="dxa"/>
            </w:tcMar>
          </w:tcPr>
          <w:p w14:paraId="75984482" w14:textId="77777777" w:rsidR="00387FDD" w:rsidRPr="00387FDD" w:rsidRDefault="00387FDD" w:rsidP="00387FDD">
            <w:pPr>
              <w:jc w:val="center"/>
              <w:rPr>
                <w:rFonts w:ascii="Twinkl" w:hAnsi="Twinkl"/>
                <w:sz w:val="24"/>
                <w:szCs w:val="24"/>
              </w:rPr>
            </w:pPr>
            <w:r w:rsidRPr="00387FDD">
              <w:rPr>
                <w:rFonts w:ascii="Twinkl" w:hAnsi="Twinkl"/>
                <w:b/>
                <w:color w:val="70263D"/>
                <w:sz w:val="24"/>
                <w:szCs w:val="24"/>
              </w:rPr>
              <w:t>Years 3 &amp; 4</w:t>
            </w:r>
          </w:p>
        </w:tc>
        <w:tc>
          <w:tcPr>
            <w:tcW w:w="1398" w:type="dxa"/>
            <w:shd w:val="clear" w:color="auto" w:fill="F1EEE8"/>
            <w:tcMar>
              <w:top w:w="60" w:type="dxa"/>
              <w:left w:w="60" w:type="dxa"/>
              <w:bottom w:w="60" w:type="dxa"/>
              <w:right w:w="60" w:type="dxa"/>
            </w:tcMar>
          </w:tcPr>
          <w:p w14:paraId="6D89320D" w14:textId="77777777" w:rsidR="00387FDD" w:rsidRPr="00387FDD" w:rsidRDefault="00387FDD" w:rsidP="00387FDD">
            <w:pPr>
              <w:jc w:val="center"/>
              <w:rPr>
                <w:rFonts w:ascii="Twinkl" w:hAnsi="Twinkl"/>
                <w:sz w:val="24"/>
                <w:szCs w:val="24"/>
              </w:rPr>
            </w:pPr>
            <w:r w:rsidRPr="00387FDD">
              <w:rPr>
                <w:rFonts w:ascii="Twinkl" w:hAnsi="Twinkl"/>
                <w:sz w:val="24"/>
                <w:szCs w:val="24"/>
              </w:rPr>
              <w:t>Ancient Romans - 8 lessons</w:t>
            </w:r>
          </w:p>
        </w:tc>
        <w:tc>
          <w:tcPr>
            <w:tcW w:w="2519" w:type="dxa"/>
            <w:shd w:val="clear" w:color="auto" w:fill="F1EEE8"/>
            <w:tcMar>
              <w:top w:w="60" w:type="dxa"/>
              <w:left w:w="60" w:type="dxa"/>
              <w:bottom w:w="60" w:type="dxa"/>
              <w:right w:w="60" w:type="dxa"/>
            </w:tcMar>
          </w:tcPr>
          <w:p w14:paraId="4351FC42" w14:textId="77777777" w:rsidR="00387FDD" w:rsidRPr="00387FDD" w:rsidRDefault="00387FDD" w:rsidP="00387FDD">
            <w:pPr>
              <w:jc w:val="center"/>
              <w:rPr>
                <w:rFonts w:ascii="Twinkl" w:hAnsi="Twinkl"/>
                <w:sz w:val="24"/>
                <w:szCs w:val="24"/>
              </w:rPr>
            </w:pPr>
            <w:r w:rsidRPr="00387FDD">
              <w:rPr>
                <w:rFonts w:ascii="Twinkl" w:hAnsi="Twinkl"/>
                <w:sz w:val="24"/>
                <w:szCs w:val="24"/>
              </w:rPr>
              <w:t xml:space="preserve">Place Roman Britain on a wider timeline; understand invasion, settlement, army, roads, towns and legacy; identify causes/consequences; use primary/secondary </w:t>
            </w:r>
            <w:r w:rsidRPr="00387FDD">
              <w:rPr>
                <w:rFonts w:ascii="Twinkl" w:hAnsi="Twinkl"/>
                <w:sz w:val="24"/>
                <w:szCs w:val="24"/>
              </w:rPr>
              <w:lastRenderedPageBreak/>
              <w:t>sources; compare interpretations; make claims supported by evidence.</w:t>
            </w:r>
          </w:p>
        </w:tc>
        <w:tc>
          <w:tcPr>
            <w:tcW w:w="1644" w:type="dxa"/>
            <w:shd w:val="clear" w:color="auto" w:fill="F1EEE8"/>
            <w:tcMar>
              <w:top w:w="60" w:type="dxa"/>
              <w:left w:w="60" w:type="dxa"/>
              <w:bottom w:w="60" w:type="dxa"/>
              <w:right w:w="60" w:type="dxa"/>
            </w:tcMar>
          </w:tcPr>
          <w:p w14:paraId="3B473A3B" w14:textId="77777777" w:rsidR="00387FDD" w:rsidRPr="00387FDD" w:rsidRDefault="00387FDD" w:rsidP="00387FDD">
            <w:pPr>
              <w:jc w:val="center"/>
              <w:rPr>
                <w:rFonts w:ascii="Twinkl" w:hAnsi="Twinkl"/>
                <w:sz w:val="24"/>
                <w:szCs w:val="24"/>
              </w:rPr>
            </w:pPr>
            <w:r w:rsidRPr="00387FDD">
              <w:rPr>
                <w:rFonts w:ascii="Twinkl" w:hAnsi="Twinkl"/>
                <w:sz w:val="24"/>
                <w:szCs w:val="24"/>
              </w:rPr>
              <w:lastRenderedPageBreak/>
              <w:t>empire, invasion, legion, citizen, settlement, legacy, primary source, interpretation</w:t>
            </w:r>
          </w:p>
        </w:tc>
        <w:tc>
          <w:tcPr>
            <w:tcW w:w="1411" w:type="dxa"/>
            <w:shd w:val="clear" w:color="auto" w:fill="F1EEE8"/>
            <w:tcMar>
              <w:top w:w="60" w:type="dxa"/>
              <w:left w:w="60" w:type="dxa"/>
              <w:bottom w:w="60" w:type="dxa"/>
              <w:right w:w="60" w:type="dxa"/>
            </w:tcMar>
          </w:tcPr>
          <w:p w14:paraId="3691C380" w14:textId="77777777" w:rsidR="00387FDD" w:rsidRPr="00387FDD" w:rsidRDefault="00387FDD" w:rsidP="00387FDD">
            <w:pPr>
              <w:jc w:val="center"/>
              <w:rPr>
                <w:rFonts w:ascii="Twinkl" w:hAnsi="Twinkl"/>
                <w:sz w:val="24"/>
                <w:szCs w:val="24"/>
              </w:rPr>
            </w:pPr>
            <w:r w:rsidRPr="00387FDD">
              <w:rPr>
                <w:rFonts w:ascii="Twinkl" w:hAnsi="Twinkl"/>
                <w:sz w:val="24"/>
                <w:szCs w:val="24"/>
              </w:rPr>
              <w:t>Timelines, maps, artefact images, enquiry questions, vocabulary retrieval.</w:t>
            </w:r>
          </w:p>
        </w:tc>
        <w:tc>
          <w:tcPr>
            <w:tcW w:w="2064" w:type="dxa"/>
            <w:shd w:val="clear" w:color="auto" w:fill="F1EEE8"/>
            <w:tcMar>
              <w:top w:w="60" w:type="dxa"/>
              <w:left w:w="60" w:type="dxa"/>
              <w:bottom w:w="60" w:type="dxa"/>
              <w:right w:w="60" w:type="dxa"/>
            </w:tcMar>
          </w:tcPr>
          <w:p w14:paraId="1105C5B7" w14:textId="77777777" w:rsidR="00387FDD" w:rsidRPr="00387FDD" w:rsidRDefault="00387FDD" w:rsidP="00387FDD">
            <w:pPr>
              <w:jc w:val="center"/>
              <w:rPr>
                <w:rFonts w:ascii="Twinkl" w:hAnsi="Twinkl"/>
                <w:sz w:val="24"/>
                <w:szCs w:val="24"/>
              </w:rPr>
            </w:pPr>
            <w:r w:rsidRPr="00387FDD">
              <w:rPr>
                <w:rFonts w:ascii="Twinkl" w:hAnsi="Twinkl"/>
                <w:sz w:val="24"/>
                <w:szCs w:val="24"/>
              </w:rPr>
              <w:t>End enquiry: explain a significant aspect of Roman Britain using evidence.</w:t>
            </w:r>
          </w:p>
        </w:tc>
        <w:tc>
          <w:tcPr>
            <w:tcW w:w="1755" w:type="dxa"/>
            <w:shd w:val="clear" w:color="auto" w:fill="F1EEE8"/>
            <w:tcMar>
              <w:top w:w="60" w:type="dxa"/>
              <w:left w:w="60" w:type="dxa"/>
              <w:bottom w:w="60" w:type="dxa"/>
              <w:right w:w="60" w:type="dxa"/>
            </w:tcMar>
          </w:tcPr>
          <w:p w14:paraId="257ECA82" w14:textId="77777777" w:rsidR="00387FDD" w:rsidRPr="00387FDD" w:rsidRDefault="00387FDD" w:rsidP="00387FDD">
            <w:pPr>
              <w:jc w:val="center"/>
              <w:rPr>
                <w:rFonts w:ascii="Twinkl" w:hAnsi="Twinkl"/>
                <w:sz w:val="24"/>
                <w:szCs w:val="24"/>
              </w:rPr>
            </w:pPr>
            <w:r w:rsidRPr="00387FDD">
              <w:rPr>
                <w:rFonts w:ascii="Twinkl" w:hAnsi="Twinkl"/>
                <w:sz w:val="24"/>
                <w:szCs w:val="24"/>
              </w:rPr>
              <w:t>Move from describing the past to explaining significance, causation and interpretations.</w:t>
            </w:r>
          </w:p>
        </w:tc>
        <w:tc>
          <w:tcPr>
            <w:tcW w:w="3071" w:type="dxa"/>
            <w:shd w:val="clear" w:color="auto" w:fill="F1EEE8"/>
            <w:tcMar>
              <w:top w:w="60" w:type="dxa"/>
              <w:left w:w="60" w:type="dxa"/>
              <w:bottom w:w="60" w:type="dxa"/>
              <w:right w:w="60" w:type="dxa"/>
            </w:tcMar>
          </w:tcPr>
          <w:p w14:paraId="0C2BAC94" w14:textId="77777777" w:rsidR="00387FDD" w:rsidRPr="00387FDD" w:rsidRDefault="00387FDD" w:rsidP="00387FDD">
            <w:pPr>
              <w:jc w:val="center"/>
              <w:rPr>
                <w:rFonts w:ascii="Twinkl" w:hAnsi="Twinkl"/>
                <w:sz w:val="24"/>
                <w:szCs w:val="24"/>
              </w:rPr>
            </w:pPr>
            <w:r w:rsidRPr="00387FDD">
              <w:rPr>
                <w:rFonts w:ascii="Twinkl" w:hAnsi="Twinkl"/>
                <w:sz w:val="24"/>
                <w:szCs w:val="24"/>
              </w:rPr>
              <w:t>Chronology • evidence • interpretation • causation/change</w:t>
            </w:r>
          </w:p>
        </w:tc>
      </w:tr>
      <w:tr w:rsidR="00387FDD" w:rsidRPr="00387FDD" w14:paraId="4A82BBB9" w14:textId="77777777" w:rsidTr="00387FDD">
        <w:trPr>
          <w:jc w:val="center"/>
        </w:trPr>
        <w:tc>
          <w:tcPr>
            <w:tcW w:w="1159" w:type="dxa"/>
            <w:tcMar>
              <w:top w:w="60" w:type="dxa"/>
              <w:left w:w="60" w:type="dxa"/>
              <w:bottom w:w="60" w:type="dxa"/>
              <w:right w:w="60" w:type="dxa"/>
            </w:tcMar>
          </w:tcPr>
          <w:p w14:paraId="467BED87" w14:textId="77777777" w:rsidR="00387FDD" w:rsidRPr="00387FDD" w:rsidRDefault="00387FDD" w:rsidP="00387FDD">
            <w:pPr>
              <w:jc w:val="center"/>
              <w:rPr>
                <w:rFonts w:ascii="Twinkl" w:hAnsi="Twinkl"/>
                <w:sz w:val="24"/>
                <w:szCs w:val="24"/>
              </w:rPr>
            </w:pPr>
            <w:r w:rsidRPr="00387FDD">
              <w:rPr>
                <w:rFonts w:ascii="Twinkl" w:hAnsi="Twinkl"/>
                <w:b/>
                <w:color w:val="70263D"/>
                <w:sz w:val="24"/>
                <w:szCs w:val="24"/>
              </w:rPr>
              <w:t>Years 5 &amp; 6</w:t>
            </w:r>
          </w:p>
        </w:tc>
        <w:tc>
          <w:tcPr>
            <w:tcW w:w="1398" w:type="dxa"/>
            <w:tcMar>
              <w:top w:w="60" w:type="dxa"/>
              <w:left w:w="60" w:type="dxa"/>
              <w:bottom w:w="60" w:type="dxa"/>
              <w:right w:w="60" w:type="dxa"/>
            </w:tcMar>
          </w:tcPr>
          <w:p w14:paraId="1B543A8D" w14:textId="77777777" w:rsidR="00387FDD" w:rsidRPr="00387FDD" w:rsidRDefault="00387FDD" w:rsidP="00387FDD">
            <w:pPr>
              <w:jc w:val="center"/>
              <w:rPr>
                <w:rFonts w:ascii="Twinkl" w:hAnsi="Twinkl"/>
                <w:sz w:val="24"/>
                <w:szCs w:val="24"/>
              </w:rPr>
            </w:pPr>
            <w:r w:rsidRPr="00387FDD">
              <w:rPr>
                <w:rFonts w:ascii="Twinkl" w:hAnsi="Twinkl"/>
                <w:sz w:val="24"/>
                <w:szCs w:val="24"/>
              </w:rPr>
              <w:t>Crime and Punishment - 9 weeks</w:t>
            </w:r>
          </w:p>
        </w:tc>
        <w:tc>
          <w:tcPr>
            <w:tcW w:w="2519" w:type="dxa"/>
            <w:tcMar>
              <w:top w:w="60" w:type="dxa"/>
              <w:left w:w="60" w:type="dxa"/>
              <w:bottom w:w="60" w:type="dxa"/>
              <w:right w:w="60" w:type="dxa"/>
            </w:tcMar>
          </w:tcPr>
          <w:p w14:paraId="0956E9ED" w14:textId="77777777" w:rsidR="00387FDD" w:rsidRPr="00387FDD" w:rsidRDefault="00387FDD" w:rsidP="00387FDD">
            <w:pPr>
              <w:jc w:val="center"/>
              <w:rPr>
                <w:rFonts w:ascii="Twinkl" w:hAnsi="Twinkl"/>
                <w:sz w:val="24"/>
                <w:szCs w:val="24"/>
              </w:rPr>
            </w:pPr>
            <w:r w:rsidRPr="00387FDD">
              <w:rPr>
                <w:rFonts w:ascii="Twinkl" w:hAnsi="Twinkl"/>
                <w:sz w:val="24"/>
                <w:szCs w:val="24"/>
              </w:rPr>
              <w:t>Trace change/continuity in crime, law and punishment across periods; identify turning points; evaluate why practices changed; compare experiences of groups; interrogate reliability and bias of sources; construct substantiated historical arguments.</w:t>
            </w:r>
          </w:p>
        </w:tc>
        <w:tc>
          <w:tcPr>
            <w:tcW w:w="1644" w:type="dxa"/>
            <w:tcMar>
              <w:top w:w="60" w:type="dxa"/>
              <w:left w:w="60" w:type="dxa"/>
              <w:bottom w:w="60" w:type="dxa"/>
              <w:right w:w="60" w:type="dxa"/>
            </w:tcMar>
          </w:tcPr>
          <w:p w14:paraId="6658CD23" w14:textId="77777777" w:rsidR="00387FDD" w:rsidRPr="00387FDD" w:rsidRDefault="00387FDD" w:rsidP="00387FDD">
            <w:pPr>
              <w:jc w:val="center"/>
              <w:rPr>
                <w:rFonts w:ascii="Twinkl" w:hAnsi="Twinkl"/>
                <w:sz w:val="24"/>
                <w:szCs w:val="24"/>
              </w:rPr>
            </w:pPr>
            <w:r w:rsidRPr="00387FDD">
              <w:rPr>
                <w:rFonts w:ascii="Twinkl" w:hAnsi="Twinkl"/>
                <w:sz w:val="24"/>
                <w:szCs w:val="24"/>
              </w:rPr>
              <w:t>justice, law, punishment, deterrence, rehabilitation, continuity, change, reliability, bias</w:t>
            </w:r>
          </w:p>
        </w:tc>
        <w:tc>
          <w:tcPr>
            <w:tcW w:w="1411" w:type="dxa"/>
            <w:tcMar>
              <w:top w:w="60" w:type="dxa"/>
              <w:left w:w="60" w:type="dxa"/>
              <w:bottom w:w="60" w:type="dxa"/>
              <w:right w:w="60" w:type="dxa"/>
            </w:tcMar>
          </w:tcPr>
          <w:p w14:paraId="77C29FB6" w14:textId="77777777" w:rsidR="00387FDD" w:rsidRPr="00387FDD" w:rsidRDefault="00387FDD" w:rsidP="00387FDD">
            <w:pPr>
              <w:jc w:val="center"/>
              <w:rPr>
                <w:rFonts w:ascii="Twinkl" w:hAnsi="Twinkl"/>
                <w:sz w:val="24"/>
                <w:szCs w:val="24"/>
              </w:rPr>
            </w:pPr>
            <w:r w:rsidRPr="00387FDD">
              <w:rPr>
                <w:rFonts w:ascii="Twinkl" w:hAnsi="Twinkl"/>
                <w:sz w:val="24"/>
                <w:szCs w:val="24"/>
              </w:rPr>
              <w:t>Dual timelines, source provenance prompts, debate, structured argument frames.</w:t>
            </w:r>
          </w:p>
        </w:tc>
        <w:tc>
          <w:tcPr>
            <w:tcW w:w="2064" w:type="dxa"/>
            <w:tcMar>
              <w:top w:w="60" w:type="dxa"/>
              <w:left w:w="60" w:type="dxa"/>
              <w:bottom w:w="60" w:type="dxa"/>
              <w:right w:w="60" w:type="dxa"/>
            </w:tcMar>
          </w:tcPr>
          <w:p w14:paraId="00760DD2" w14:textId="77777777" w:rsidR="00387FDD" w:rsidRPr="00387FDD" w:rsidRDefault="00387FDD" w:rsidP="00387FDD">
            <w:pPr>
              <w:jc w:val="center"/>
              <w:rPr>
                <w:rFonts w:ascii="Twinkl" w:hAnsi="Twinkl"/>
                <w:sz w:val="24"/>
                <w:szCs w:val="24"/>
              </w:rPr>
            </w:pPr>
            <w:r w:rsidRPr="00387FDD">
              <w:rPr>
                <w:rFonts w:ascii="Twinkl" w:hAnsi="Twinkl"/>
                <w:sz w:val="24"/>
                <w:szCs w:val="24"/>
              </w:rPr>
              <w:t>Enquiry outcome explaining change/continuity with evidence across periods.</w:t>
            </w:r>
          </w:p>
        </w:tc>
        <w:tc>
          <w:tcPr>
            <w:tcW w:w="1755" w:type="dxa"/>
            <w:tcMar>
              <w:top w:w="60" w:type="dxa"/>
              <w:left w:w="60" w:type="dxa"/>
              <w:bottom w:w="60" w:type="dxa"/>
              <w:right w:w="60" w:type="dxa"/>
            </w:tcMar>
          </w:tcPr>
          <w:p w14:paraId="4BFCD8C7" w14:textId="77777777" w:rsidR="00387FDD" w:rsidRPr="00387FDD" w:rsidRDefault="00387FDD" w:rsidP="00387FDD">
            <w:pPr>
              <w:jc w:val="center"/>
              <w:rPr>
                <w:rFonts w:ascii="Twinkl" w:hAnsi="Twinkl"/>
                <w:sz w:val="24"/>
                <w:szCs w:val="24"/>
              </w:rPr>
            </w:pPr>
            <w:r w:rsidRPr="00387FDD">
              <w:rPr>
                <w:rFonts w:ascii="Twinkl" w:hAnsi="Twinkl"/>
                <w:sz w:val="24"/>
                <w:szCs w:val="24"/>
              </w:rPr>
              <w:t>Secondary readiness: multi-causal explanations and critical source evaluation.</w:t>
            </w:r>
          </w:p>
        </w:tc>
        <w:tc>
          <w:tcPr>
            <w:tcW w:w="3071" w:type="dxa"/>
            <w:tcMar>
              <w:top w:w="60" w:type="dxa"/>
              <w:left w:w="60" w:type="dxa"/>
              <w:bottom w:w="60" w:type="dxa"/>
              <w:right w:w="60" w:type="dxa"/>
            </w:tcMar>
          </w:tcPr>
          <w:p w14:paraId="3E151992" w14:textId="77777777" w:rsidR="00387FDD" w:rsidRPr="00387FDD" w:rsidRDefault="00387FDD" w:rsidP="00387FDD">
            <w:pPr>
              <w:jc w:val="center"/>
              <w:rPr>
                <w:rFonts w:ascii="Twinkl" w:hAnsi="Twinkl"/>
                <w:sz w:val="24"/>
                <w:szCs w:val="24"/>
              </w:rPr>
            </w:pPr>
            <w:r w:rsidRPr="00387FDD">
              <w:rPr>
                <w:rFonts w:ascii="Twinkl" w:hAnsi="Twinkl"/>
                <w:sz w:val="24"/>
                <w:szCs w:val="24"/>
              </w:rPr>
              <w:t>Chronology • evidence • interpretation • causation/change</w:t>
            </w:r>
          </w:p>
        </w:tc>
      </w:tr>
    </w:tbl>
    <w:p w14:paraId="7A28DFF8" w14:textId="5E64FB04" w:rsidR="00686172" w:rsidRPr="00387FDD" w:rsidRDefault="00686172" w:rsidP="00387FDD"/>
    <w:sectPr w:rsidR="00686172" w:rsidRPr="00387FDD" w:rsidSect="004B1D79">
      <w:headerReference w:type="default" r:id="rId6"/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0C602B7" w14:textId="77777777" w:rsidR="00BF0DD1" w:rsidRDefault="00BF0DD1" w:rsidP="004B1D79">
      <w:pPr>
        <w:spacing w:after="0" w:line="240" w:lineRule="auto"/>
      </w:pPr>
      <w:r>
        <w:separator/>
      </w:r>
    </w:p>
  </w:endnote>
  <w:endnote w:type="continuationSeparator" w:id="0">
    <w:p w14:paraId="327F315C" w14:textId="77777777" w:rsidR="00BF0DD1" w:rsidRDefault="00BF0DD1" w:rsidP="004B1D7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">
    <w:altName w:val="Cambria"/>
    <w:panose1 w:val="00000000000000000000"/>
    <w:charset w:val="00"/>
    <w:family w:val="roman"/>
    <w:notTrueType/>
    <w:pitch w:val="default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Twinkl">
    <w:panose1 w:val="02000000000000000000"/>
    <w:charset w:val="00"/>
    <w:family w:val="auto"/>
    <w:pitch w:val="variable"/>
    <w:sig w:usb0="00000007" w:usb1="00000001" w:usb2="00000000" w:usb3="00000000" w:csb0="00000093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444A1F7" w14:textId="77777777" w:rsidR="00BF0DD1" w:rsidRDefault="00BF0DD1" w:rsidP="004B1D79">
      <w:pPr>
        <w:spacing w:after="0" w:line="240" w:lineRule="auto"/>
      </w:pPr>
      <w:r>
        <w:separator/>
      </w:r>
    </w:p>
  </w:footnote>
  <w:footnote w:type="continuationSeparator" w:id="0">
    <w:p w14:paraId="48B32EDB" w14:textId="77777777" w:rsidR="00BF0DD1" w:rsidRDefault="00BF0DD1" w:rsidP="004B1D79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5BE9CE3" w14:textId="3BFDE637" w:rsidR="004B1D79" w:rsidRPr="004B1D79" w:rsidRDefault="004B1D79" w:rsidP="004B1D79">
    <w:pPr>
      <w:pStyle w:val="Header"/>
      <w:tabs>
        <w:tab w:val="clear" w:pos="4513"/>
        <w:tab w:val="clear" w:pos="9026"/>
        <w:tab w:val="left" w:pos="5856"/>
      </w:tabs>
      <w:jc w:val="center"/>
      <w:rPr>
        <w:rFonts w:ascii="Twinkl" w:hAnsi="Twinkl"/>
        <w:b/>
        <w:bCs/>
        <w:sz w:val="32"/>
        <w:szCs w:val="32"/>
        <w:u w:val="single"/>
      </w:rPr>
    </w:pPr>
    <w:r w:rsidRPr="004B1D79">
      <w:rPr>
        <w:rFonts w:ascii="Twinkl" w:hAnsi="Twinkl"/>
        <w:b/>
        <w:bCs/>
        <w:noProof/>
        <w:sz w:val="32"/>
        <w:szCs w:val="32"/>
        <w:u w:val="single"/>
      </w:rPr>
      <w:drawing>
        <wp:anchor distT="0" distB="0" distL="114300" distR="114300" simplePos="0" relativeHeight="251658240" behindDoc="0" locked="0" layoutInCell="1" allowOverlap="1" wp14:anchorId="60A5D56C" wp14:editId="18DE2A88">
          <wp:simplePos x="0" y="0"/>
          <wp:positionH relativeFrom="column">
            <wp:posOffset>-434340</wp:posOffset>
          </wp:positionH>
          <wp:positionV relativeFrom="paragraph">
            <wp:posOffset>-350520</wp:posOffset>
          </wp:positionV>
          <wp:extent cx="691084" cy="662940"/>
          <wp:effectExtent l="0" t="0" r="0" b="3810"/>
          <wp:wrapNone/>
          <wp:docPr id="1" name="Picture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691084" cy="66294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 w:rsidRPr="004B1D79">
      <w:rPr>
        <w:rFonts w:ascii="Twinkl" w:hAnsi="Twinkl"/>
        <w:b/>
        <w:bCs/>
        <w:sz w:val="32"/>
        <w:szCs w:val="32"/>
        <w:u w:val="single"/>
      </w:rPr>
      <w:t>St Joseph’s Catholic Primary School Curriculum</w:t>
    </w:r>
  </w:p>
  <w:p w14:paraId="3DF2F276" w14:textId="77777777" w:rsidR="004B1D79" w:rsidRDefault="004B1D79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B1D79"/>
    <w:rsid w:val="00387FDD"/>
    <w:rsid w:val="004B1D79"/>
    <w:rsid w:val="004F46F4"/>
    <w:rsid w:val="00686172"/>
    <w:rsid w:val="00690C12"/>
    <w:rsid w:val="009750C8"/>
    <w:rsid w:val="009F5DD0"/>
    <w:rsid w:val="00A555A6"/>
    <w:rsid w:val="00AE1153"/>
    <w:rsid w:val="00BF0DD1"/>
    <w:rsid w:val="00ED64A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6758C49"/>
  <w15:chartTrackingRefBased/>
  <w15:docId w15:val="{AB3CE82F-E531-4689-8422-D8B20631900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4B1D79"/>
    <w:pPr>
      <w:spacing w:after="200" w:line="276" w:lineRule="auto"/>
    </w:pPr>
    <w:rPr>
      <w:rFonts w:ascii="Aptos" w:eastAsiaTheme="minorEastAsia" w:hAnsi="Aptos"/>
      <w:color w:val="333333"/>
      <w:sz w:val="18"/>
      <w:lang w:val="en-US"/>
    </w:rPr>
  </w:style>
  <w:style w:type="paragraph" w:styleId="Heading1">
    <w:name w:val="heading 1"/>
    <w:basedOn w:val="Normal"/>
    <w:next w:val="Normal"/>
    <w:link w:val="Heading1Char"/>
    <w:uiPriority w:val="9"/>
    <w:qFormat/>
    <w:rsid w:val="004B1D79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70263D"/>
      <w:sz w:val="40"/>
      <w:szCs w:val="2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4B1D79"/>
    <w:pPr>
      <w:tabs>
        <w:tab w:val="center" w:pos="4513"/>
        <w:tab w:val="right" w:pos="9026"/>
      </w:tabs>
      <w:spacing w:after="0" w:line="240" w:lineRule="auto"/>
    </w:pPr>
    <w:rPr>
      <w:rFonts w:asciiTheme="minorHAnsi" w:eastAsiaTheme="minorHAnsi" w:hAnsiTheme="minorHAnsi"/>
      <w:color w:val="auto"/>
      <w:sz w:val="22"/>
      <w:lang w:val="en-GB"/>
    </w:rPr>
  </w:style>
  <w:style w:type="character" w:customStyle="1" w:styleId="HeaderChar">
    <w:name w:val="Header Char"/>
    <w:basedOn w:val="DefaultParagraphFont"/>
    <w:link w:val="Header"/>
    <w:uiPriority w:val="99"/>
    <w:rsid w:val="004B1D79"/>
  </w:style>
  <w:style w:type="paragraph" w:styleId="Footer">
    <w:name w:val="footer"/>
    <w:basedOn w:val="Normal"/>
    <w:link w:val="FooterChar"/>
    <w:uiPriority w:val="99"/>
    <w:unhideWhenUsed/>
    <w:rsid w:val="004B1D79"/>
    <w:pPr>
      <w:tabs>
        <w:tab w:val="center" w:pos="4513"/>
        <w:tab w:val="right" w:pos="9026"/>
      </w:tabs>
      <w:spacing w:after="0" w:line="240" w:lineRule="auto"/>
    </w:pPr>
    <w:rPr>
      <w:rFonts w:asciiTheme="minorHAnsi" w:eastAsiaTheme="minorHAnsi" w:hAnsiTheme="minorHAnsi"/>
      <w:color w:val="auto"/>
      <w:sz w:val="22"/>
      <w:lang w:val="en-GB"/>
    </w:rPr>
  </w:style>
  <w:style w:type="character" w:customStyle="1" w:styleId="FooterChar">
    <w:name w:val="Footer Char"/>
    <w:basedOn w:val="DefaultParagraphFont"/>
    <w:link w:val="Footer"/>
    <w:uiPriority w:val="99"/>
    <w:rsid w:val="004B1D79"/>
  </w:style>
  <w:style w:type="character" w:customStyle="1" w:styleId="Heading1Char">
    <w:name w:val="Heading 1 Char"/>
    <w:basedOn w:val="DefaultParagraphFont"/>
    <w:link w:val="Heading1"/>
    <w:uiPriority w:val="9"/>
    <w:rsid w:val="004B1D79"/>
    <w:rPr>
      <w:rFonts w:asciiTheme="majorHAnsi" w:eastAsiaTheme="majorEastAsia" w:hAnsiTheme="majorHAnsi" w:cstheme="majorBidi"/>
      <w:b/>
      <w:bCs/>
      <w:color w:val="70263D"/>
      <w:sz w:val="40"/>
      <w:szCs w:val="28"/>
      <w:lang w:val="en-US"/>
    </w:rPr>
  </w:style>
  <w:style w:type="table" w:styleId="TableGrid">
    <w:name w:val="Table Grid"/>
    <w:basedOn w:val="TableNormal"/>
    <w:uiPriority w:val="59"/>
    <w:rsid w:val="004B1D79"/>
    <w:pPr>
      <w:spacing w:after="0" w:line="240" w:lineRule="auto"/>
    </w:pPr>
    <w:rPr>
      <w:rFonts w:eastAsiaTheme="minorEastAsia"/>
      <w:lang w:val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455</Words>
  <Characters>2595</Characters>
  <Application>Microsoft Office Word</Application>
  <DocSecurity>0</DocSecurity>
  <Lines>21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3044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F Carder</dc:creator>
  <cp:keywords/>
  <dc:description/>
  <cp:lastModifiedBy>F Carder</cp:lastModifiedBy>
  <cp:revision>2</cp:revision>
  <dcterms:created xsi:type="dcterms:W3CDTF">2026-09-12T10:48:00Z</dcterms:created>
  <dcterms:modified xsi:type="dcterms:W3CDTF">2026-09-12T10:48:00Z</dcterms:modified>
</cp:coreProperties>
</file>