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F8E91" w14:textId="77777777" w:rsidR="00EE2FDC" w:rsidRPr="00EE2FDC" w:rsidRDefault="00EE2FDC" w:rsidP="00EE2FDC">
      <w:pPr>
        <w:pStyle w:val="Heading1"/>
        <w:jc w:val="center"/>
        <w:rPr>
          <w:rFonts w:ascii="Twinkl" w:hAnsi="Twinkl"/>
          <w:sz w:val="28"/>
          <w:u w:val="single"/>
        </w:rPr>
      </w:pPr>
      <w:r w:rsidRPr="00EE2FDC">
        <w:rPr>
          <w:rFonts w:ascii="Twinkl" w:hAnsi="Twinkl"/>
          <w:sz w:val="28"/>
          <w:u w:val="single"/>
        </w:rPr>
        <w:t>Science</w:t>
      </w:r>
    </w:p>
    <w:p w14:paraId="00DD2B1E" w14:textId="77777777" w:rsidR="00EE2FDC" w:rsidRPr="00EE2FDC" w:rsidRDefault="00EE2FDC" w:rsidP="00EE2FDC">
      <w:pPr>
        <w:jc w:val="center"/>
        <w:rPr>
          <w:rFonts w:ascii="Twinkl" w:hAnsi="Twinkl"/>
          <w:sz w:val="24"/>
          <w:szCs w:val="24"/>
        </w:rPr>
      </w:pPr>
      <w:r w:rsidRPr="00EE2FDC">
        <w:rPr>
          <w:rFonts w:ascii="Twinkl" w:hAnsi="Twinkl"/>
          <w:sz w:val="24"/>
          <w:szCs w:val="24"/>
        </w:rPr>
        <w:t>Progression combines substantive scientific knowledge with Working Scientifically: questioning, observing, classifying, testing, measuring, recording, pattern-seeking and concluding.</w:t>
      </w:r>
    </w:p>
    <w:tbl>
      <w:tblPr>
        <w:tblStyle w:val="TableGrid"/>
        <w:tblW w:w="15021" w:type="dxa"/>
        <w:jc w:val="center"/>
        <w:tblLook w:val="04A0" w:firstRow="1" w:lastRow="0" w:firstColumn="1" w:lastColumn="0" w:noHBand="0" w:noVBand="1"/>
      </w:tblPr>
      <w:tblGrid>
        <w:gridCol w:w="1132"/>
        <w:gridCol w:w="1680"/>
        <w:gridCol w:w="2652"/>
        <w:gridCol w:w="1798"/>
        <w:gridCol w:w="1778"/>
        <w:gridCol w:w="1918"/>
        <w:gridCol w:w="1649"/>
        <w:gridCol w:w="2414"/>
      </w:tblGrid>
      <w:tr w:rsidR="00EE2FDC" w:rsidRPr="00EE2FDC" w14:paraId="379802C5" w14:textId="77777777" w:rsidTr="00EE2FDC">
        <w:trPr>
          <w:tblHeader/>
          <w:jc w:val="center"/>
        </w:trPr>
        <w:tc>
          <w:tcPr>
            <w:tcW w:w="1121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CBDA97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b/>
                <w:color w:val="FFFFFF"/>
                <w:sz w:val="24"/>
                <w:szCs w:val="24"/>
              </w:rPr>
              <w:t>Phase</w:t>
            </w:r>
          </w:p>
        </w:tc>
        <w:tc>
          <w:tcPr>
            <w:tcW w:w="1662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DB1A5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b/>
                <w:color w:val="FFFFFF"/>
                <w:sz w:val="24"/>
                <w:szCs w:val="24"/>
              </w:rPr>
              <w:t>Term 1 focus</w:t>
            </w:r>
          </w:p>
        </w:tc>
        <w:tc>
          <w:tcPr>
            <w:tcW w:w="2622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E4BD43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b/>
                <w:color w:val="FFFFFF"/>
                <w:sz w:val="24"/>
                <w:szCs w:val="24"/>
              </w:rPr>
              <w:t>Knowledge &amp; skills progression</w:t>
            </w:r>
          </w:p>
        </w:tc>
        <w:tc>
          <w:tcPr>
            <w:tcW w:w="1778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3DA7A0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b/>
                <w:color w:val="FFFFFF"/>
                <w:sz w:val="24"/>
                <w:szCs w:val="24"/>
              </w:rPr>
              <w:t>Key vocabulary</w:t>
            </w:r>
          </w:p>
        </w:tc>
        <w:tc>
          <w:tcPr>
            <w:tcW w:w="1759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54A1BB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b/>
                <w:color w:val="FFFFFF"/>
                <w:sz w:val="24"/>
                <w:szCs w:val="24"/>
              </w:rPr>
              <w:t>Adaptive teaching / SEND</w:t>
            </w:r>
          </w:p>
        </w:tc>
        <w:tc>
          <w:tcPr>
            <w:tcW w:w="1897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D5F79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b/>
                <w:color w:val="FFFFFF"/>
                <w:sz w:val="24"/>
                <w:szCs w:val="24"/>
              </w:rPr>
              <w:t>Assessment evidence</w:t>
            </w:r>
          </w:p>
        </w:tc>
        <w:tc>
          <w:tcPr>
            <w:tcW w:w="1631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D464F2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b/>
                <w:color w:val="FFFFFF"/>
                <w:sz w:val="24"/>
                <w:szCs w:val="24"/>
              </w:rPr>
              <w:t>Next step</w:t>
            </w:r>
          </w:p>
        </w:tc>
        <w:tc>
          <w:tcPr>
            <w:tcW w:w="2551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17666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b/>
                <w:color w:val="FFFFFF"/>
                <w:sz w:val="24"/>
                <w:szCs w:val="24"/>
              </w:rPr>
              <w:t>Disciplinary thread</w:t>
            </w:r>
          </w:p>
        </w:tc>
      </w:tr>
      <w:tr w:rsidR="00EE2FDC" w:rsidRPr="00EE2FDC" w14:paraId="46ECB461" w14:textId="77777777" w:rsidTr="00EE2FDC">
        <w:trPr>
          <w:jc w:val="center"/>
        </w:trPr>
        <w:tc>
          <w:tcPr>
            <w:tcW w:w="112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AEFFA1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b/>
                <w:color w:val="70263D"/>
                <w:sz w:val="24"/>
                <w:szCs w:val="24"/>
              </w:rPr>
              <w:t>Nursery / Reception</w:t>
            </w:r>
          </w:p>
        </w:tc>
        <w:tc>
          <w:tcPr>
            <w:tcW w:w="166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D91A8F2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Understanding the World foundations</w:t>
            </w:r>
          </w:p>
        </w:tc>
        <w:tc>
          <w:tcPr>
            <w:tcW w:w="262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80AFD24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Explore materials and natural phenomena; notice similarities/differences; ask questions; observe change; sort and describe using senses.</w:t>
            </w:r>
          </w:p>
        </w:tc>
        <w:tc>
          <w:tcPr>
            <w:tcW w:w="177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9E34E1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observe, same, different, change, material</w:t>
            </w:r>
          </w:p>
        </w:tc>
        <w:tc>
          <w:tcPr>
            <w:tcW w:w="175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5F7DAB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Hands-on exploration, sensory vocabulary, adult questioning.</w:t>
            </w:r>
          </w:p>
        </w:tc>
        <w:tc>
          <w:tcPr>
            <w:tcW w:w="189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264F279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Observation and talk.</w:t>
            </w:r>
          </w:p>
        </w:tc>
        <w:tc>
          <w:tcPr>
            <w:tcW w:w="163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5B6CE45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Build enquiry habits and comparative language.</w:t>
            </w:r>
          </w:p>
        </w:tc>
        <w:tc>
          <w:tcPr>
            <w:tcW w:w="25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113FD65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Working Scientifically</w:t>
            </w:r>
          </w:p>
        </w:tc>
      </w:tr>
      <w:tr w:rsidR="00EE2FDC" w:rsidRPr="00EE2FDC" w14:paraId="32516CA4" w14:textId="77777777" w:rsidTr="00EE2FDC">
        <w:trPr>
          <w:jc w:val="center"/>
        </w:trPr>
        <w:tc>
          <w:tcPr>
            <w:tcW w:w="1121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1D0B8EC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b/>
                <w:color w:val="70263D"/>
                <w:sz w:val="24"/>
                <w:szCs w:val="24"/>
              </w:rPr>
              <w:t>Year 1</w:t>
            </w:r>
          </w:p>
        </w:tc>
        <w:tc>
          <w:tcPr>
            <w:tcW w:w="166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52D461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Retrieval / seasonal and material observations as opportunities arise</w:t>
            </w:r>
          </w:p>
        </w:tc>
        <w:tc>
          <w:tcPr>
            <w:tcW w:w="262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AA723E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Name common materials; describe simple properties; observe seasonal/environmental change; ask questions and record observations simply.</w:t>
            </w:r>
          </w:p>
        </w:tc>
        <w:tc>
          <w:tcPr>
            <w:tcW w:w="177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ED9FAD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material, property, hard, soft, waterproof, season</w:t>
            </w:r>
          </w:p>
        </w:tc>
        <w:tc>
          <w:tcPr>
            <w:tcW w:w="1759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7135996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Real objects, sorting hoops, picture recording.</w:t>
            </w:r>
          </w:p>
        </w:tc>
        <w:tc>
          <w:tcPr>
            <w:tcW w:w="1897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C6089A4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Practical classification and oral explanation.</w:t>
            </w:r>
          </w:p>
        </w:tc>
        <w:tc>
          <w:tcPr>
            <w:tcW w:w="1631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E8D0A41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Prepare for Year 2 material suitability investigations.</w:t>
            </w:r>
          </w:p>
        </w:tc>
        <w:tc>
          <w:tcPr>
            <w:tcW w:w="2551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CF49DD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Working Scientifically</w:t>
            </w:r>
          </w:p>
        </w:tc>
      </w:tr>
      <w:tr w:rsidR="00EE2FDC" w:rsidRPr="00EE2FDC" w14:paraId="2810C512" w14:textId="77777777" w:rsidTr="00EE2FDC">
        <w:trPr>
          <w:jc w:val="center"/>
        </w:trPr>
        <w:tc>
          <w:tcPr>
            <w:tcW w:w="112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8C1A2BF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b/>
                <w:color w:val="70263D"/>
                <w:sz w:val="24"/>
                <w:szCs w:val="24"/>
              </w:rPr>
              <w:lastRenderedPageBreak/>
              <w:t>Year 2</w:t>
            </w:r>
          </w:p>
        </w:tc>
        <w:tc>
          <w:tcPr>
            <w:tcW w:w="166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78D6B0E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Materials</w:t>
            </w:r>
          </w:p>
        </w:tc>
        <w:tc>
          <w:tcPr>
            <w:tcW w:w="262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750C0B1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Identify and compare everyday materials; explain suitability for uses; explore how shapes can be changed; ask testable questions; compare fairly; record findings and draw simple conclusions.</w:t>
            </w:r>
          </w:p>
        </w:tc>
        <w:tc>
          <w:tcPr>
            <w:tcW w:w="177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FFD2083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material, property, absorbent, waterproof, flexible, rigid, transparent</w:t>
            </w:r>
          </w:p>
        </w:tc>
        <w:tc>
          <w:tcPr>
            <w:tcW w:w="175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CD5361B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Practical tests, prediction frames, tables with symbols/words.</w:t>
            </w:r>
          </w:p>
        </w:tc>
        <w:tc>
          <w:tcPr>
            <w:tcW w:w="189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A896EAC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Investigation: choose/test material for a purpose and explain result.</w:t>
            </w:r>
          </w:p>
        </w:tc>
        <w:tc>
          <w:tcPr>
            <w:tcW w:w="163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5676D30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Move towards variables, patterns and evidence-based conclusions.</w:t>
            </w:r>
          </w:p>
        </w:tc>
        <w:tc>
          <w:tcPr>
            <w:tcW w:w="25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BD4A6D2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Working Scientifically</w:t>
            </w:r>
          </w:p>
        </w:tc>
      </w:tr>
      <w:tr w:rsidR="00EE2FDC" w:rsidRPr="00EE2FDC" w14:paraId="02103360" w14:textId="77777777" w:rsidTr="00EE2FDC">
        <w:trPr>
          <w:jc w:val="center"/>
        </w:trPr>
        <w:tc>
          <w:tcPr>
            <w:tcW w:w="1121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6503E8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b/>
                <w:color w:val="70263D"/>
                <w:sz w:val="24"/>
                <w:szCs w:val="24"/>
              </w:rPr>
              <w:t>Years 3 &amp; 4</w:t>
            </w:r>
          </w:p>
        </w:tc>
        <w:tc>
          <w:tcPr>
            <w:tcW w:w="166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C538FE2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Forces and Magnets (Y3)</w:t>
            </w:r>
          </w:p>
        </w:tc>
        <w:tc>
          <w:tcPr>
            <w:tcW w:w="262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CC39835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Compare movement on surfaces; understand contact/non-contact forces; observe magnetic attraction/repulsion; classify magnetic materials; identify poles; plan comparative tests and report patterns.</w:t>
            </w:r>
          </w:p>
        </w:tc>
        <w:tc>
          <w:tcPr>
            <w:tcW w:w="177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6B3118D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force, friction, magnetic, attract, repel, pole, surface</w:t>
            </w:r>
          </w:p>
        </w:tc>
        <w:tc>
          <w:tcPr>
            <w:tcW w:w="1759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EB5486E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Concrete equipment, force arrows, structured tables, vocabulary rehearsal.</w:t>
            </w:r>
          </w:p>
        </w:tc>
        <w:tc>
          <w:tcPr>
            <w:tcW w:w="1897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A887B1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Practical enquiry explaining a pattern with evidence.</w:t>
            </w:r>
          </w:p>
        </w:tc>
        <w:tc>
          <w:tcPr>
            <w:tcW w:w="1631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B6A6213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Develop control of variables and increasingly precise measurement.</w:t>
            </w:r>
          </w:p>
        </w:tc>
        <w:tc>
          <w:tcPr>
            <w:tcW w:w="2551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B414566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Working Scientifically</w:t>
            </w:r>
          </w:p>
        </w:tc>
      </w:tr>
      <w:tr w:rsidR="00EE2FDC" w:rsidRPr="00EE2FDC" w14:paraId="17EF52F4" w14:textId="77777777" w:rsidTr="00EE2FDC">
        <w:trPr>
          <w:jc w:val="center"/>
        </w:trPr>
        <w:tc>
          <w:tcPr>
            <w:tcW w:w="112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8F8AC5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b/>
                <w:color w:val="70263D"/>
                <w:sz w:val="24"/>
                <w:szCs w:val="24"/>
              </w:rPr>
              <w:lastRenderedPageBreak/>
              <w:t>Years 5 &amp; 6</w:t>
            </w:r>
          </w:p>
        </w:tc>
        <w:tc>
          <w:tcPr>
            <w:tcW w:w="166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7CB7772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Animals and their Habitats (Y5)</w:t>
            </w:r>
          </w:p>
        </w:tc>
        <w:tc>
          <w:tcPr>
            <w:tcW w:w="262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B20CA7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Describe life cycles of mammals, amphibians, insects and birds; describe reproduction in some plants/animals; compare cycles; research scientists/naturalists; record data systematically and use evidence to explain similarities/differences.</w:t>
            </w:r>
          </w:p>
        </w:tc>
        <w:tc>
          <w:tcPr>
            <w:tcW w:w="177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9C645F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 xml:space="preserve">life cycle, reproduction, metamorphosis, gestation, pollination, </w:t>
            </w:r>
            <w:proofErr w:type="spellStart"/>
            <w:r w:rsidRPr="00EE2FDC">
              <w:rPr>
                <w:rFonts w:ascii="Twinkl" w:hAnsi="Twinkl"/>
                <w:sz w:val="24"/>
                <w:szCs w:val="24"/>
              </w:rPr>
              <w:t>fertilisation</w:t>
            </w:r>
            <w:proofErr w:type="spellEnd"/>
          </w:p>
        </w:tc>
        <w:tc>
          <w:tcPr>
            <w:tcW w:w="175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AC3542C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Diagrams, sequencing cards, videos/images, research scaffolds, dual coding.</w:t>
            </w:r>
          </w:p>
        </w:tc>
        <w:tc>
          <w:tcPr>
            <w:tcW w:w="189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280F6A7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Comparative life-cycle explanation and enquiry/research outcome.</w:t>
            </w:r>
          </w:p>
        </w:tc>
        <w:tc>
          <w:tcPr>
            <w:tcW w:w="163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8830FE6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Prepare for KS3 biological systems, reproduction and evidence-based scientific explanation.</w:t>
            </w:r>
          </w:p>
        </w:tc>
        <w:tc>
          <w:tcPr>
            <w:tcW w:w="25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05E357" w14:textId="77777777" w:rsidR="00EE2FDC" w:rsidRPr="00EE2FDC" w:rsidRDefault="00EE2FDC" w:rsidP="003516A5">
            <w:pPr>
              <w:rPr>
                <w:rFonts w:ascii="Twinkl" w:hAnsi="Twinkl"/>
                <w:sz w:val="24"/>
                <w:szCs w:val="24"/>
              </w:rPr>
            </w:pPr>
            <w:r w:rsidRPr="00EE2FDC">
              <w:rPr>
                <w:rFonts w:ascii="Twinkl" w:hAnsi="Twinkl"/>
                <w:sz w:val="24"/>
                <w:szCs w:val="24"/>
              </w:rPr>
              <w:t>Working Scientifically</w:t>
            </w:r>
          </w:p>
        </w:tc>
      </w:tr>
    </w:tbl>
    <w:p w14:paraId="7A28DFF8" w14:textId="5E64FB04" w:rsidR="00686172" w:rsidRPr="00387FDD" w:rsidRDefault="00686172" w:rsidP="00387FDD"/>
    <w:sectPr w:rsidR="00686172" w:rsidRPr="00387FDD" w:rsidSect="004B1D7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D3350" w14:textId="77777777" w:rsidR="003A4727" w:rsidRDefault="003A4727" w:rsidP="004B1D79">
      <w:pPr>
        <w:spacing w:after="0" w:line="240" w:lineRule="auto"/>
      </w:pPr>
      <w:r>
        <w:separator/>
      </w:r>
    </w:p>
  </w:endnote>
  <w:endnote w:type="continuationSeparator" w:id="0">
    <w:p w14:paraId="723209F9" w14:textId="77777777" w:rsidR="003A4727" w:rsidRDefault="003A4727" w:rsidP="004B1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75D4E" w14:textId="77777777" w:rsidR="003A4727" w:rsidRDefault="003A4727" w:rsidP="004B1D79">
      <w:pPr>
        <w:spacing w:after="0" w:line="240" w:lineRule="auto"/>
      </w:pPr>
      <w:r>
        <w:separator/>
      </w:r>
    </w:p>
  </w:footnote>
  <w:footnote w:type="continuationSeparator" w:id="0">
    <w:p w14:paraId="12BE02B8" w14:textId="77777777" w:rsidR="003A4727" w:rsidRDefault="003A4727" w:rsidP="004B1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E9CE3" w14:textId="3BFDE637" w:rsidR="004B1D79" w:rsidRPr="004B1D79" w:rsidRDefault="004B1D79" w:rsidP="004B1D79">
    <w:pPr>
      <w:pStyle w:val="Header"/>
      <w:tabs>
        <w:tab w:val="clear" w:pos="4513"/>
        <w:tab w:val="clear" w:pos="9026"/>
        <w:tab w:val="left" w:pos="5856"/>
      </w:tabs>
      <w:jc w:val="center"/>
      <w:rPr>
        <w:rFonts w:ascii="Twinkl" w:hAnsi="Twinkl"/>
        <w:b/>
        <w:bCs/>
        <w:sz w:val="32"/>
        <w:szCs w:val="32"/>
        <w:u w:val="single"/>
      </w:rPr>
    </w:pPr>
    <w:r w:rsidRPr="004B1D79">
      <w:rPr>
        <w:rFonts w:ascii="Twinkl" w:hAnsi="Twinkl"/>
        <w:b/>
        <w:bCs/>
        <w:noProof/>
        <w:sz w:val="32"/>
        <w:szCs w:val="32"/>
        <w:u w:val="single"/>
      </w:rPr>
      <w:drawing>
        <wp:anchor distT="0" distB="0" distL="114300" distR="114300" simplePos="0" relativeHeight="251658240" behindDoc="0" locked="0" layoutInCell="1" allowOverlap="1" wp14:anchorId="60A5D56C" wp14:editId="18DE2A88">
          <wp:simplePos x="0" y="0"/>
          <wp:positionH relativeFrom="column">
            <wp:posOffset>-434340</wp:posOffset>
          </wp:positionH>
          <wp:positionV relativeFrom="paragraph">
            <wp:posOffset>-350520</wp:posOffset>
          </wp:positionV>
          <wp:extent cx="691084" cy="662940"/>
          <wp:effectExtent l="0" t="0" r="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084" cy="662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B1D79">
      <w:rPr>
        <w:rFonts w:ascii="Twinkl" w:hAnsi="Twinkl"/>
        <w:b/>
        <w:bCs/>
        <w:sz w:val="32"/>
        <w:szCs w:val="32"/>
        <w:u w:val="single"/>
      </w:rPr>
      <w:t>St Joseph’s Catholic Primary School Curriculum</w:t>
    </w:r>
  </w:p>
  <w:p w14:paraId="3DF2F276" w14:textId="77777777" w:rsidR="004B1D79" w:rsidRDefault="004B1D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79"/>
    <w:rsid w:val="00387FDD"/>
    <w:rsid w:val="003A4727"/>
    <w:rsid w:val="004B1D79"/>
    <w:rsid w:val="004F46F4"/>
    <w:rsid w:val="00686172"/>
    <w:rsid w:val="00690C12"/>
    <w:rsid w:val="009400C4"/>
    <w:rsid w:val="009750C8"/>
    <w:rsid w:val="009F5DD0"/>
    <w:rsid w:val="00A555A6"/>
    <w:rsid w:val="00AE1153"/>
    <w:rsid w:val="00ED64A5"/>
    <w:rsid w:val="00EE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58C49"/>
  <w15:chartTrackingRefBased/>
  <w15:docId w15:val="{AB3CE82F-E531-4689-8422-D8B20631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D79"/>
    <w:pPr>
      <w:spacing w:after="200" w:line="276" w:lineRule="auto"/>
    </w:pPr>
    <w:rPr>
      <w:rFonts w:ascii="Aptos" w:eastAsiaTheme="minorEastAsia" w:hAnsi="Aptos"/>
      <w:color w:val="333333"/>
      <w:sz w:val="18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1D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0263D"/>
      <w:sz w:val="4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1D79"/>
  </w:style>
  <w:style w:type="paragraph" w:styleId="Footer">
    <w:name w:val="footer"/>
    <w:basedOn w:val="Normal"/>
    <w:link w:val="Foot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1D79"/>
  </w:style>
  <w:style w:type="character" w:customStyle="1" w:styleId="Heading1Char">
    <w:name w:val="Heading 1 Char"/>
    <w:basedOn w:val="DefaultParagraphFont"/>
    <w:link w:val="Heading1"/>
    <w:uiPriority w:val="9"/>
    <w:rsid w:val="004B1D79"/>
    <w:rPr>
      <w:rFonts w:asciiTheme="majorHAnsi" w:eastAsiaTheme="majorEastAsia" w:hAnsiTheme="majorHAnsi" w:cstheme="majorBidi"/>
      <w:b/>
      <w:bCs/>
      <w:color w:val="70263D"/>
      <w:sz w:val="40"/>
      <w:szCs w:val="28"/>
      <w:lang w:val="en-US"/>
    </w:rPr>
  </w:style>
  <w:style w:type="table" w:styleId="TableGrid">
    <w:name w:val="Table Grid"/>
    <w:basedOn w:val="TableNormal"/>
    <w:uiPriority w:val="59"/>
    <w:rsid w:val="004B1D79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Carder</dc:creator>
  <cp:keywords/>
  <dc:description/>
  <cp:lastModifiedBy>F Carder</cp:lastModifiedBy>
  <cp:revision>2</cp:revision>
  <dcterms:created xsi:type="dcterms:W3CDTF">2026-09-12T10:49:00Z</dcterms:created>
  <dcterms:modified xsi:type="dcterms:W3CDTF">2026-09-12T10:49:00Z</dcterms:modified>
</cp:coreProperties>
</file>